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AD" w:rsidRPr="00834293" w:rsidRDefault="00123490" w:rsidP="003C11AD">
      <w:pPr>
        <w:tabs>
          <w:tab w:val="left" w:pos="0"/>
          <w:tab w:val="left" w:pos="284"/>
        </w:tabs>
        <w:spacing w:after="0" w:line="240" w:lineRule="auto"/>
        <w:rPr>
          <w:sz w:val="20"/>
          <w:szCs w:val="24"/>
        </w:rPr>
      </w:pPr>
      <w:r w:rsidRPr="00834293">
        <w:rPr>
          <w:sz w:val="20"/>
          <w:szCs w:val="24"/>
        </w:rPr>
        <w:t xml:space="preserve">Nr sprawy: </w:t>
      </w:r>
      <w:proofErr w:type="spellStart"/>
      <w:r w:rsidRPr="00834293">
        <w:rPr>
          <w:sz w:val="20"/>
          <w:szCs w:val="24"/>
        </w:rPr>
        <w:t>DSUiZP</w:t>
      </w:r>
      <w:proofErr w:type="spellEnd"/>
      <w:r w:rsidRPr="00834293">
        <w:rPr>
          <w:sz w:val="20"/>
          <w:szCs w:val="24"/>
        </w:rPr>
        <w:t xml:space="preserve"> 24/ŁM/</w:t>
      </w:r>
      <w:r w:rsidR="00C06EEF">
        <w:rPr>
          <w:sz w:val="20"/>
          <w:szCs w:val="24"/>
        </w:rPr>
        <w:t>10/2023</w:t>
      </w:r>
      <w:r w:rsidRPr="00834293">
        <w:rPr>
          <w:sz w:val="20"/>
          <w:szCs w:val="24"/>
        </w:rPr>
        <w:t>r.</w:t>
      </w:r>
      <w:r w:rsidR="003C11AD" w:rsidRPr="00834293">
        <w:rPr>
          <w:sz w:val="20"/>
          <w:szCs w:val="24"/>
        </w:rPr>
        <w:tab/>
      </w:r>
      <w:r w:rsidR="003C11AD" w:rsidRPr="00834293">
        <w:rPr>
          <w:sz w:val="20"/>
          <w:szCs w:val="24"/>
        </w:rPr>
        <w:tab/>
      </w:r>
      <w:r w:rsidR="003C11AD" w:rsidRPr="00834293">
        <w:rPr>
          <w:sz w:val="20"/>
          <w:szCs w:val="24"/>
        </w:rPr>
        <w:tab/>
      </w:r>
      <w:r w:rsidR="003C11AD" w:rsidRPr="00834293">
        <w:rPr>
          <w:sz w:val="20"/>
          <w:szCs w:val="24"/>
        </w:rPr>
        <w:tab/>
        <w:t xml:space="preserve">           </w:t>
      </w:r>
      <w:r w:rsidR="00F462DD" w:rsidRPr="00834293">
        <w:rPr>
          <w:sz w:val="20"/>
          <w:szCs w:val="24"/>
        </w:rPr>
        <w:t xml:space="preserve">   </w:t>
      </w:r>
      <w:r w:rsidR="00C06EEF">
        <w:rPr>
          <w:sz w:val="20"/>
          <w:szCs w:val="24"/>
        </w:rPr>
        <w:t xml:space="preserve">  </w:t>
      </w:r>
      <w:r w:rsidR="00F462DD" w:rsidRPr="00834293">
        <w:rPr>
          <w:sz w:val="20"/>
          <w:szCs w:val="24"/>
        </w:rPr>
        <w:t xml:space="preserve"> </w:t>
      </w:r>
      <w:r w:rsidR="00F462DD" w:rsidRPr="00834293">
        <w:rPr>
          <w:sz w:val="20"/>
          <w:szCs w:val="24"/>
        </w:rPr>
        <w:tab/>
      </w:r>
      <w:r w:rsidR="003C11AD" w:rsidRPr="00834293">
        <w:rPr>
          <w:sz w:val="20"/>
          <w:szCs w:val="24"/>
        </w:rPr>
        <w:t xml:space="preserve">Końskie </w:t>
      </w:r>
      <w:r w:rsidR="005E21F7">
        <w:rPr>
          <w:sz w:val="20"/>
          <w:szCs w:val="24"/>
        </w:rPr>
        <w:t>31.01.</w:t>
      </w:r>
      <w:r w:rsidR="00C06EEF">
        <w:rPr>
          <w:sz w:val="20"/>
          <w:szCs w:val="24"/>
        </w:rPr>
        <w:t>2023r</w:t>
      </w:r>
      <w:r w:rsidRPr="00834293">
        <w:rPr>
          <w:sz w:val="20"/>
          <w:szCs w:val="24"/>
        </w:rPr>
        <w:t>.</w:t>
      </w:r>
      <w:r w:rsidR="003C11AD" w:rsidRPr="00834293">
        <w:rPr>
          <w:sz w:val="20"/>
          <w:szCs w:val="24"/>
        </w:rPr>
        <w:tab/>
      </w:r>
    </w:p>
    <w:p w:rsidR="00C3278D" w:rsidRPr="00834293" w:rsidRDefault="00C3278D" w:rsidP="00C3278D">
      <w:pPr>
        <w:tabs>
          <w:tab w:val="left" w:pos="0"/>
          <w:tab w:val="left" w:pos="284"/>
        </w:tabs>
        <w:spacing w:after="0" w:line="240" w:lineRule="auto"/>
        <w:rPr>
          <w:sz w:val="20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6"/>
      </w:tblGrid>
      <w:tr w:rsidR="002F5A3F" w:rsidRPr="00834293" w:rsidTr="00655E7E">
        <w:trPr>
          <w:trHeight w:val="921"/>
          <w:jc w:val="right"/>
        </w:trPr>
        <w:tc>
          <w:tcPr>
            <w:tcW w:w="4306" w:type="dxa"/>
          </w:tcPr>
          <w:p w:rsidR="00C3278D" w:rsidRPr="00834293" w:rsidRDefault="00C3278D" w:rsidP="001234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Narrow"/>
                <w:color w:val="FFFFFF"/>
                <w:sz w:val="20"/>
                <w:szCs w:val="24"/>
              </w:rPr>
            </w:pPr>
            <w:r w:rsidRPr="00834293">
              <w:rPr>
                <w:rFonts w:cs="Arial Narrow"/>
                <w:sz w:val="20"/>
                <w:szCs w:val="24"/>
              </w:rPr>
              <w:t xml:space="preserve">Firmy biorące udział w </w:t>
            </w:r>
            <w:r w:rsidR="00F462DD" w:rsidRPr="00834293">
              <w:rPr>
                <w:rFonts w:cs="Arial Narrow"/>
                <w:sz w:val="20"/>
                <w:szCs w:val="24"/>
              </w:rPr>
              <w:t>zaproszeniu</w:t>
            </w:r>
            <w:r w:rsidRPr="00834293">
              <w:rPr>
                <w:rFonts w:cs="Arial Narrow"/>
                <w:sz w:val="20"/>
                <w:szCs w:val="24"/>
              </w:rPr>
              <w:t xml:space="preserve"> ogłoszonym </w:t>
            </w:r>
            <w:r w:rsidRPr="00834293">
              <w:rPr>
                <w:rFonts w:eastAsiaTheme="minorHAnsi" w:cs="ArialMT"/>
                <w:sz w:val="20"/>
                <w:szCs w:val="24"/>
              </w:rPr>
              <w:t>nr</w:t>
            </w:r>
            <w:r w:rsidR="002F5A3F">
              <w:rPr>
                <w:rFonts w:eastAsiaTheme="minorHAnsi" w:cs="ArialMT"/>
                <w:sz w:val="20"/>
                <w:szCs w:val="24"/>
              </w:rPr>
              <w:t xml:space="preserve"> </w:t>
            </w:r>
            <w:proofErr w:type="spellStart"/>
            <w:r w:rsidR="002F5A3F">
              <w:rPr>
                <w:rFonts w:eastAsiaTheme="minorHAnsi" w:cs="ArialMT"/>
                <w:sz w:val="20"/>
                <w:szCs w:val="24"/>
              </w:rPr>
              <w:t>DSUiZP</w:t>
            </w:r>
            <w:proofErr w:type="spellEnd"/>
            <w:r w:rsidR="002F5A3F">
              <w:rPr>
                <w:rFonts w:eastAsiaTheme="minorHAnsi" w:cs="ArialMT"/>
                <w:sz w:val="20"/>
                <w:szCs w:val="24"/>
              </w:rPr>
              <w:t>/24/ŁM/10/2023</w:t>
            </w:r>
            <w:r w:rsidR="00F462DD" w:rsidRPr="00834293">
              <w:rPr>
                <w:rFonts w:eastAsiaTheme="minorHAnsi" w:cs="ArialMT"/>
                <w:sz w:val="20"/>
                <w:szCs w:val="24"/>
              </w:rPr>
              <w:t>r</w:t>
            </w:r>
            <w:r w:rsidR="00A82CB3" w:rsidRPr="00834293">
              <w:rPr>
                <w:rFonts w:eastAsiaTheme="minorHAnsi" w:cs="ArialMT"/>
                <w:sz w:val="20"/>
                <w:szCs w:val="24"/>
              </w:rPr>
              <w:t>.</w:t>
            </w:r>
            <w:r w:rsidRPr="00834293">
              <w:rPr>
                <w:rFonts w:eastAsiaTheme="minorHAnsi" w:cs="ArialMT"/>
                <w:sz w:val="20"/>
                <w:szCs w:val="24"/>
              </w:rPr>
              <w:t xml:space="preserve"> </w:t>
            </w:r>
            <w:r w:rsidR="003B6431" w:rsidRPr="00834293">
              <w:rPr>
                <w:rFonts w:eastAsiaTheme="minorHAnsi" w:cs="ArialMT"/>
                <w:sz w:val="20"/>
                <w:szCs w:val="24"/>
              </w:rPr>
              <w:t xml:space="preserve">z dnia </w:t>
            </w:r>
            <w:r w:rsidR="002F5A3F">
              <w:rPr>
                <w:rFonts w:eastAsiaTheme="minorHAnsi" w:cs="ArialMT"/>
                <w:sz w:val="20"/>
                <w:szCs w:val="24"/>
              </w:rPr>
              <w:t>24.01.2023</w:t>
            </w:r>
            <w:r w:rsidR="00123490" w:rsidRPr="00834293">
              <w:rPr>
                <w:rFonts w:eastAsiaTheme="minorHAnsi" w:cs="ArialMT"/>
                <w:sz w:val="20"/>
                <w:szCs w:val="24"/>
              </w:rPr>
              <w:t>r.</w:t>
            </w:r>
            <w:r w:rsidR="003B6431" w:rsidRPr="00834293">
              <w:rPr>
                <w:rFonts w:eastAsiaTheme="minorHAnsi" w:cs="ArialMT"/>
                <w:sz w:val="20"/>
                <w:szCs w:val="24"/>
              </w:rPr>
              <w:t xml:space="preserve"> </w:t>
            </w:r>
            <w:r w:rsidR="00F462DD" w:rsidRPr="00834293">
              <w:rPr>
                <w:rFonts w:cs="Arial Narrow"/>
                <w:sz w:val="20"/>
                <w:szCs w:val="24"/>
              </w:rPr>
              <w:t>zamieszczonego</w:t>
            </w:r>
            <w:r w:rsidRPr="00834293">
              <w:rPr>
                <w:rFonts w:cs="Arial Narrow"/>
                <w:sz w:val="20"/>
                <w:szCs w:val="24"/>
              </w:rPr>
              <w:t xml:space="preserve"> na stronie internetowej  www.zoz.konskie.bip.org.pl </w:t>
            </w:r>
          </w:p>
        </w:tc>
      </w:tr>
    </w:tbl>
    <w:p w:rsidR="00C3278D" w:rsidRPr="00834293" w:rsidRDefault="00C3278D" w:rsidP="00C3278D">
      <w:pPr>
        <w:pStyle w:val="scfbrieftext"/>
        <w:tabs>
          <w:tab w:val="left" w:pos="0"/>
          <w:tab w:val="left" w:pos="284"/>
        </w:tabs>
        <w:rPr>
          <w:rFonts w:ascii="Calibri" w:hAnsi="Calibri"/>
          <w:szCs w:val="24"/>
          <w:lang w:val="pl-PL"/>
        </w:rPr>
      </w:pPr>
    </w:p>
    <w:p w:rsidR="00B9305D" w:rsidRPr="002F5A3F" w:rsidRDefault="00C3278D" w:rsidP="00B9305D">
      <w:pPr>
        <w:tabs>
          <w:tab w:val="left" w:pos="284"/>
        </w:tabs>
        <w:autoSpaceDE w:val="0"/>
        <w:autoSpaceDN w:val="0"/>
        <w:adjustRightInd w:val="0"/>
        <w:ind w:left="284"/>
        <w:jc w:val="center"/>
        <w:rPr>
          <w:b/>
          <w:color w:val="000000"/>
          <w:sz w:val="20"/>
          <w:szCs w:val="20"/>
        </w:rPr>
      </w:pPr>
      <w:r w:rsidRPr="002F5A3F">
        <w:rPr>
          <w:rFonts w:cs="Arial Narrow"/>
          <w:b/>
          <w:sz w:val="20"/>
          <w:szCs w:val="20"/>
        </w:rPr>
        <w:t>Dot.</w:t>
      </w:r>
      <w:r w:rsidRPr="002F5A3F">
        <w:rPr>
          <w:b/>
          <w:sz w:val="20"/>
          <w:szCs w:val="20"/>
        </w:rPr>
        <w:t xml:space="preserve"> </w:t>
      </w:r>
      <w:r w:rsidR="002F5A3F" w:rsidRPr="002F5A3F">
        <w:rPr>
          <w:b/>
          <w:color w:val="000000"/>
        </w:rPr>
        <w:t>sukcesywnych</w:t>
      </w:r>
      <w:r w:rsidR="00545165" w:rsidRPr="002F5A3F">
        <w:rPr>
          <w:b/>
          <w:color w:val="000000"/>
        </w:rPr>
        <w:t xml:space="preserve"> dostawy przez okres 12 miesięcy Kaniul dożylnych bezpiecznych</w:t>
      </w:r>
    </w:p>
    <w:p w:rsidR="00F462DD" w:rsidRPr="00834293" w:rsidRDefault="00F462DD" w:rsidP="00B9305D">
      <w:pPr>
        <w:spacing w:after="0" w:line="240" w:lineRule="auto"/>
        <w:rPr>
          <w:b/>
          <w:sz w:val="20"/>
          <w:szCs w:val="24"/>
        </w:rPr>
      </w:pPr>
    </w:p>
    <w:p w:rsidR="00C3278D" w:rsidRPr="00834293" w:rsidRDefault="00C3278D" w:rsidP="00C3278D">
      <w:pPr>
        <w:spacing w:after="0" w:line="240" w:lineRule="auto"/>
        <w:rPr>
          <w:rFonts w:cs="Arial"/>
          <w:sz w:val="20"/>
          <w:szCs w:val="24"/>
        </w:rPr>
      </w:pPr>
      <w:r w:rsidRPr="00834293">
        <w:rPr>
          <w:rFonts w:cs="Arial"/>
          <w:sz w:val="20"/>
          <w:szCs w:val="24"/>
        </w:rPr>
        <w:t xml:space="preserve">Dyrekcja Zespołu Opieki Zdrowotnej w Końskich w odpowiedzi na złożone następujące wnioski  dotyczące treści zapisów </w:t>
      </w:r>
      <w:r w:rsidR="00F462DD" w:rsidRPr="00834293">
        <w:rPr>
          <w:rFonts w:cs="Arial"/>
          <w:sz w:val="20"/>
          <w:szCs w:val="24"/>
        </w:rPr>
        <w:t>zaproszenia</w:t>
      </w:r>
      <w:r w:rsidRPr="00834293">
        <w:rPr>
          <w:rFonts w:cs="Arial"/>
          <w:sz w:val="20"/>
          <w:szCs w:val="24"/>
        </w:rPr>
        <w:t xml:space="preserve"> informuje :</w:t>
      </w:r>
    </w:p>
    <w:p w:rsidR="00C3278D" w:rsidRPr="00834293" w:rsidRDefault="00C3278D" w:rsidP="00C3278D">
      <w:pPr>
        <w:spacing w:after="0" w:line="240" w:lineRule="auto"/>
        <w:rPr>
          <w:rFonts w:cs="Arial"/>
          <w:sz w:val="20"/>
          <w:szCs w:val="24"/>
        </w:rPr>
      </w:pPr>
    </w:p>
    <w:p w:rsidR="00C3278D" w:rsidRDefault="00C3278D" w:rsidP="00C3278D">
      <w:pPr>
        <w:spacing w:after="0" w:line="240" w:lineRule="auto"/>
        <w:rPr>
          <w:b/>
          <w:sz w:val="20"/>
          <w:szCs w:val="24"/>
        </w:rPr>
      </w:pPr>
      <w:r w:rsidRPr="00834293">
        <w:rPr>
          <w:b/>
          <w:sz w:val="20"/>
          <w:szCs w:val="24"/>
        </w:rPr>
        <w:t>I.</w:t>
      </w:r>
    </w:p>
    <w:p w:rsidR="002F5A3F" w:rsidRPr="00834293" w:rsidRDefault="002F5A3F" w:rsidP="00C3278D">
      <w:pPr>
        <w:spacing w:after="0" w:line="240" w:lineRule="auto"/>
        <w:rPr>
          <w:b/>
          <w:sz w:val="20"/>
          <w:szCs w:val="24"/>
        </w:rPr>
      </w:pPr>
    </w:p>
    <w:p w:rsidR="002C06F2" w:rsidRPr="002C06F2" w:rsidRDefault="00123490" w:rsidP="002C06F2">
      <w:pPr>
        <w:pStyle w:val="Akapitzlist1"/>
        <w:suppressAutoHyphens/>
        <w:spacing w:after="0" w:line="240" w:lineRule="auto"/>
        <w:ind w:left="0"/>
        <w:rPr>
          <w:b/>
          <w:sz w:val="20"/>
          <w:szCs w:val="20"/>
        </w:rPr>
      </w:pPr>
      <w:r w:rsidRPr="00834293">
        <w:rPr>
          <w:rFonts w:ascii="Times New Roman" w:hAnsi="Times New Roman"/>
          <w:szCs w:val="24"/>
          <w:lang w:eastAsia="pl-PL"/>
        </w:rPr>
        <w:t> </w:t>
      </w:r>
      <w:r w:rsidR="002C06F2" w:rsidRPr="002C06F2">
        <w:rPr>
          <w:sz w:val="20"/>
          <w:szCs w:val="20"/>
        </w:rPr>
        <w:t>Prosimy Zamawiającego o dopuszczenie równoważonej kaniuli bezpieczniej zgodnej z opisem</w:t>
      </w:r>
    </w:p>
    <w:p w:rsidR="002C06F2" w:rsidRPr="002C06F2" w:rsidRDefault="002C06F2" w:rsidP="002C06F2">
      <w:pPr>
        <w:tabs>
          <w:tab w:val="left" w:pos="8505"/>
        </w:tabs>
        <w:ind w:right="708"/>
        <w:rPr>
          <w:rFonts w:cs="Calibri"/>
          <w:bCs/>
          <w:sz w:val="20"/>
          <w:szCs w:val="20"/>
        </w:rPr>
      </w:pP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Wykonana z najlepszej jakości </w:t>
      </w:r>
      <w:proofErr w:type="spellStart"/>
      <w:r w:rsidRPr="002C06F2">
        <w:rPr>
          <w:rFonts w:cs="Segoe UI"/>
          <w:sz w:val="20"/>
          <w:szCs w:val="20"/>
        </w:rPr>
        <w:t>biokompatybilnego</w:t>
      </w:r>
      <w:proofErr w:type="spellEnd"/>
      <w:r w:rsidRPr="002C06F2">
        <w:rPr>
          <w:rFonts w:cs="Segoe UI"/>
          <w:sz w:val="20"/>
          <w:szCs w:val="20"/>
        </w:rPr>
        <w:t xml:space="preserve"> medycznego PUR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Wyposażona w sześć pasków </w:t>
      </w:r>
      <w:proofErr w:type="spellStart"/>
      <w:r w:rsidRPr="002C06F2">
        <w:rPr>
          <w:rFonts w:cs="Segoe UI"/>
          <w:sz w:val="20"/>
          <w:szCs w:val="20"/>
        </w:rPr>
        <w:t>radiocieniujących</w:t>
      </w:r>
      <w:proofErr w:type="spellEnd"/>
      <w:r w:rsidRPr="002C06F2">
        <w:rPr>
          <w:rFonts w:cs="Segoe UI"/>
          <w:sz w:val="20"/>
          <w:szCs w:val="20"/>
        </w:rPr>
        <w:t xml:space="preserve"> – widoczna w RTG i USG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Wyposażona w metalowy automatyczny mechanizm zabezpieczający przed przypadkowym zakłuciem, w postaci zatrzasku na końcu igły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Posiada filtr hydrofobowy, który zapobiega przeciekaniu krwi podczas </w:t>
      </w:r>
      <w:proofErr w:type="spellStart"/>
      <w:r w:rsidRPr="002C06F2">
        <w:rPr>
          <w:rFonts w:cs="Segoe UI"/>
          <w:sz w:val="20"/>
          <w:szCs w:val="20"/>
        </w:rPr>
        <w:t>kaniulacji</w:t>
      </w:r>
      <w:proofErr w:type="spellEnd"/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Silikonowa zastawka w porcie iniekcyjnym zapobiega cofaniu się krwi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Transparentna komora wpływu wstecznego zapewnia natychmiastową kontrolę poprawności wkłucia.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Skrzydełka oraz korek portu bocznego (iniekcyjnego) kodowany kolorystycznie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Koreczek z trzpieniem poniżej krawędzi, prążkowany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Gładka miękka, elastyczna powierzchnia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Stożkowe zakończone cewnika jest ustawione osiowo ze skosem igły aby zapewnić łagodne przejście z igły do cewnika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Elastyczne skrzydełka w pozycji złożonej z dziurkami umożliwiają zamocowanie kaniuli plastrem lub jej przyszycie co przekłada się na lepszą stabilizację kaniuli w żyle,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proofErr w:type="spellStart"/>
      <w:r w:rsidRPr="002C06F2">
        <w:rPr>
          <w:rFonts w:cs="Segoe UI"/>
          <w:sz w:val="20"/>
          <w:szCs w:val="20"/>
        </w:rPr>
        <w:t>Silikonizowana</w:t>
      </w:r>
      <w:proofErr w:type="spellEnd"/>
      <w:r w:rsidRPr="002C06F2">
        <w:rPr>
          <w:rFonts w:cs="Segoe UI"/>
          <w:sz w:val="20"/>
          <w:szCs w:val="20"/>
        </w:rPr>
        <w:t xml:space="preserve"> igła wykonana ze stali nierdzewnej, tylny szlif zapewnia ostrość igły co ułatwia wkłucie i poprawia komfort pacjenta podczas </w:t>
      </w:r>
      <w:proofErr w:type="spellStart"/>
      <w:r w:rsidRPr="002C06F2">
        <w:rPr>
          <w:rFonts w:cs="Segoe UI"/>
          <w:sz w:val="20"/>
          <w:szCs w:val="20"/>
        </w:rPr>
        <w:t>kaniulacji</w:t>
      </w:r>
      <w:proofErr w:type="spellEnd"/>
      <w:r w:rsidRPr="002C06F2">
        <w:rPr>
          <w:rFonts w:cs="Segoe UI"/>
          <w:sz w:val="20"/>
          <w:szCs w:val="20"/>
        </w:rPr>
        <w:t xml:space="preserve">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Nasadka chroni igłę i cewnik przed zanieczyszczeniem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Minimalny opór podczas zabiegu iniekcyjnego spowodowany niskim współczynnikiem tarcia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Cienkie ścianki cewnika pozwalają na maksymalny przepływ płynów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Jednorazowego użytku, sterylna, nietoksyczna, niepirogenna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Opakowanie typu </w:t>
      </w:r>
      <w:proofErr w:type="spellStart"/>
      <w:r w:rsidRPr="002C06F2">
        <w:rPr>
          <w:rFonts w:cs="Segoe UI"/>
          <w:sz w:val="20"/>
          <w:szCs w:val="20"/>
        </w:rPr>
        <w:t>Tyvec</w:t>
      </w:r>
      <w:proofErr w:type="spellEnd"/>
      <w:r w:rsidRPr="002C06F2">
        <w:rPr>
          <w:rFonts w:cs="Segoe UI"/>
          <w:sz w:val="20"/>
          <w:szCs w:val="20"/>
        </w:rPr>
        <w:t xml:space="preserve"> gwarantuje bezpieczeństwo przed rozszczelnieniem i przypadkowym uszkodzeniem 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Na opakowaniu jednostkowym zawarta m.in. informacja o średnicy, długości kaniuli, przepływach; dacie ważności, nazwa materiału z którego wykonana jest kaniula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 xml:space="preserve">Nie zawiera </w:t>
      </w:r>
      <w:proofErr w:type="spellStart"/>
      <w:r w:rsidRPr="002C06F2">
        <w:rPr>
          <w:rFonts w:cs="Segoe UI"/>
          <w:sz w:val="20"/>
          <w:szCs w:val="20"/>
        </w:rPr>
        <w:t>plastyfikowanego</w:t>
      </w:r>
      <w:proofErr w:type="spellEnd"/>
      <w:r w:rsidRPr="002C06F2">
        <w:rPr>
          <w:rFonts w:cs="Segoe UI"/>
          <w:sz w:val="20"/>
          <w:szCs w:val="20"/>
        </w:rPr>
        <w:t xml:space="preserve"> PVC, lateksu, DEHP</w:t>
      </w:r>
    </w:p>
    <w:p w:rsidR="002C06F2" w:rsidRPr="002C06F2" w:rsidRDefault="002C06F2" w:rsidP="002C06F2">
      <w:pPr>
        <w:pStyle w:val="Akapitzlist"/>
        <w:numPr>
          <w:ilvl w:val="0"/>
          <w:numId w:val="7"/>
        </w:numPr>
        <w:spacing w:line="240" w:lineRule="auto"/>
        <w:jc w:val="both"/>
        <w:rPr>
          <w:rFonts w:cs="Segoe UI"/>
          <w:sz w:val="20"/>
          <w:szCs w:val="20"/>
        </w:rPr>
      </w:pPr>
      <w:r w:rsidRPr="002C06F2">
        <w:rPr>
          <w:rFonts w:cs="Segoe UI"/>
          <w:sz w:val="20"/>
          <w:szCs w:val="20"/>
        </w:rPr>
        <w:t>Opakowanie handlowe – 50 sztuk</w:t>
      </w:r>
    </w:p>
    <w:tbl>
      <w:tblPr>
        <w:tblpPr w:leftFromText="141" w:rightFromText="141" w:horzAnchor="margin" w:tblpXSpec="center" w:tblpY="645"/>
        <w:tblW w:w="7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75"/>
        <w:gridCol w:w="1583"/>
        <w:gridCol w:w="1579"/>
        <w:gridCol w:w="1578"/>
      </w:tblGrid>
      <w:tr w:rsidR="002C06F2" w:rsidRPr="002C06F2" w:rsidTr="00C32B18">
        <w:trPr>
          <w:trHeight w:val="30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lastRenderedPageBreak/>
              <w:t>Gauge</w:t>
            </w:r>
            <w:proofErr w:type="spellEnd"/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>Kolor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>Przepływ ml/min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>Rozmiar</w:t>
            </w:r>
          </w:p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mm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Długość </w:t>
            </w:r>
          </w:p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b/>
                <w:bCs/>
                <w:color w:val="000000"/>
                <w:sz w:val="20"/>
                <w:szCs w:val="20"/>
              </w:rPr>
              <w:t>mm</w:t>
            </w:r>
          </w:p>
        </w:tc>
      </w:tr>
      <w:tr w:rsidR="002C06F2" w:rsidRPr="002C06F2" w:rsidTr="00C32B1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</w:tr>
      <w:tr w:rsidR="002C06F2" w:rsidRPr="002C06F2" w:rsidTr="00C32B1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18G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Green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45</w:t>
            </w:r>
          </w:p>
        </w:tc>
      </w:tr>
      <w:tr w:rsidR="002C06F2" w:rsidRPr="002C06F2" w:rsidTr="00C32B1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20G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C06F2">
              <w:rPr>
                <w:rFonts w:cs="Calibri"/>
                <w:color w:val="000000"/>
                <w:sz w:val="20"/>
                <w:szCs w:val="20"/>
              </w:rPr>
              <w:t>Pink</w:t>
            </w:r>
            <w:proofErr w:type="spellEnd"/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32</w:t>
            </w:r>
          </w:p>
        </w:tc>
      </w:tr>
      <w:tr w:rsidR="002C06F2" w:rsidRPr="002C06F2" w:rsidTr="00C32B1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22G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Blue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</w:tr>
      <w:tr w:rsidR="002C06F2" w:rsidRPr="002C06F2" w:rsidTr="00C32B18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24G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2C06F2">
              <w:rPr>
                <w:rFonts w:cs="Calibri"/>
                <w:color w:val="000000"/>
                <w:sz w:val="20"/>
                <w:szCs w:val="20"/>
              </w:rPr>
              <w:t>Yellow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C06F2" w:rsidRPr="002C06F2" w:rsidRDefault="002C06F2" w:rsidP="00C32B18">
            <w:pPr>
              <w:jc w:val="center"/>
              <w:rPr>
                <w:rFonts w:cs="Calibri"/>
                <w:sz w:val="20"/>
                <w:szCs w:val="20"/>
              </w:rPr>
            </w:pPr>
            <w:r w:rsidRPr="002C06F2"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</w:tr>
    </w:tbl>
    <w:p w:rsidR="00724376" w:rsidRPr="00834293" w:rsidRDefault="00724376" w:rsidP="0083429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Cs w:val="24"/>
          <w:lang w:eastAsia="pl-PL"/>
        </w:rPr>
      </w:pPr>
    </w:p>
    <w:p w:rsidR="00724376" w:rsidRPr="00834293" w:rsidRDefault="00724376" w:rsidP="0021540A">
      <w:pPr>
        <w:spacing w:after="0" w:line="240" w:lineRule="auto"/>
        <w:rPr>
          <w:b/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2C06F2" w:rsidRDefault="002C06F2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i/>
          <w:sz w:val="20"/>
          <w:szCs w:val="24"/>
        </w:rPr>
      </w:pPr>
      <w:r w:rsidRPr="002C06F2">
        <w:rPr>
          <w:b/>
          <w:i/>
          <w:sz w:val="20"/>
          <w:szCs w:val="24"/>
        </w:rPr>
        <w:t>ODP.:</w:t>
      </w:r>
      <w:r w:rsidR="005E21F7">
        <w:rPr>
          <w:b/>
          <w:i/>
          <w:sz w:val="20"/>
          <w:szCs w:val="24"/>
        </w:rPr>
        <w:t xml:space="preserve"> Zamawiający nie wyraża zgody na takie rozwiązanie ponieważ wymaga kaniul dożylnych bezpiecznych bez portów, a oferowana kaniula dożylna bezpieczna posiada port boczny. </w:t>
      </w:r>
    </w:p>
    <w:p w:rsidR="00F95F79" w:rsidRPr="002C06F2" w:rsidRDefault="00F95F79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i/>
          <w:sz w:val="20"/>
          <w:szCs w:val="24"/>
        </w:rPr>
      </w:pPr>
    </w:p>
    <w:p w:rsidR="002C06F2" w:rsidRPr="005E21F7" w:rsidRDefault="002C06F2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4"/>
        </w:rPr>
      </w:pPr>
      <w:r w:rsidRPr="005E21F7">
        <w:rPr>
          <w:b/>
          <w:sz w:val="20"/>
          <w:szCs w:val="24"/>
        </w:rPr>
        <w:t>II.</w:t>
      </w:r>
    </w:p>
    <w:p w:rsidR="00F95F79" w:rsidRDefault="00F95F79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sz w:val="20"/>
          <w:szCs w:val="24"/>
        </w:rPr>
      </w:pPr>
    </w:p>
    <w:p w:rsidR="00A906FD" w:rsidRPr="00A906FD" w:rsidRDefault="00A906FD" w:rsidP="00A906FD">
      <w:pPr>
        <w:spacing w:after="0"/>
        <w:rPr>
          <w:sz w:val="20"/>
          <w:szCs w:val="20"/>
        </w:rPr>
      </w:pPr>
      <w:r w:rsidRPr="00A906FD">
        <w:rPr>
          <w:sz w:val="20"/>
          <w:szCs w:val="20"/>
        </w:rPr>
        <w:t xml:space="preserve">Pyt. 1 – Czy Zamawiający celem uzyskania konkurencyjnej oferty dopuści: bezpieczną kaniule do wlewów dożylnych wykonaną z poliuretanu, </w:t>
      </w:r>
      <w:r w:rsidRPr="00A906FD">
        <w:rPr>
          <w:bCs/>
          <w:sz w:val="20"/>
          <w:szCs w:val="20"/>
        </w:rPr>
        <w:t xml:space="preserve">z portem bocznym </w:t>
      </w:r>
      <w:r w:rsidRPr="00A906FD">
        <w:rPr>
          <w:sz w:val="20"/>
          <w:szCs w:val="20"/>
          <w:lang w:eastAsia="pl-PL"/>
        </w:rPr>
        <w:t>działającym  w bezpiecznym systemie zatrzaskowym typu "</w:t>
      </w:r>
      <w:proofErr w:type="spellStart"/>
      <w:r w:rsidRPr="00A906FD">
        <w:rPr>
          <w:sz w:val="20"/>
          <w:szCs w:val="20"/>
          <w:lang w:eastAsia="pl-PL"/>
        </w:rPr>
        <w:t>klick</w:t>
      </w:r>
      <w:proofErr w:type="spellEnd"/>
      <w:r w:rsidRPr="00A906FD">
        <w:rPr>
          <w:sz w:val="20"/>
          <w:szCs w:val="20"/>
          <w:lang w:eastAsia="pl-PL"/>
        </w:rPr>
        <w:t xml:space="preserve">" domykanym standardowo, </w:t>
      </w:r>
      <w:r w:rsidRPr="00A906FD">
        <w:rPr>
          <w:bCs/>
          <w:sz w:val="20"/>
          <w:szCs w:val="20"/>
        </w:rPr>
        <w:t xml:space="preserve">umieszczonym centralnie nad skrzydełkami mocującymi, </w:t>
      </w:r>
      <w:r w:rsidRPr="00A906FD">
        <w:rPr>
          <w:sz w:val="20"/>
          <w:szCs w:val="20"/>
        </w:rPr>
        <w:t xml:space="preserve">z automatycznie aktywującym się plastikowym zabezpieczeniem ostrza igły po wyjęciu z kaniuli </w:t>
      </w:r>
      <w:r w:rsidRPr="00A906FD">
        <w:rPr>
          <w:bCs/>
          <w:sz w:val="20"/>
          <w:szCs w:val="20"/>
        </w:rPr>
        <w:t xml:space="preserve">w pełni zabezpieczającym operatora przed przypadkowym zakłuciem i nieprzewidzianą ekspozycją na krew po wycofaniu igły, z </w:t>
      </w:r>
      <w:r w:rsidRPr="00A906FD">
        <w:rPr>
          <w:sz w:val="20"/>
          <w:szCs w:val="20"/>
        </w:rPr>
        <w:t>3 szerokimi paskami dającymi bardzo dobry kontrast w promieniowaniu RTG,  wyposażona w filtr hydrofobowy zapobiegający zwrotnemu wypływowi krwi w momencie wkłucia, jednostopniowa identyfikacja wkłucia w komorze kontrolnej, identyfikacja kolorystyczna przy pomocy portu górnego, skrzydełka bezbarwne, opakowanie folia plus papier klasy medycznej, rozmiary:</w:t>
      </w:r>
    </w:p>
    <w:p w:rsidR="00A906FD" w:rsidRPr="00A906FD" w:rsidRDefault="00A906FD" w:rsidP="00A906FD">
      <w:pPr>
        <w:spacing w:after="0"/>
        <w:rPr>
          <w:sz w:val="20"/>
          <w:szCs w:val="20"/>
        </w:rPr>
      </w:pPr>
      <w:r w:rsidRPr="00A906FD">
        <w:rPr>
          <w:sz w:val="20"/>
          <w:szCs w:val="20"/>
          <w:lang w:eastAsia="pl-PL"/>
        </w:rPr>
        <w:t>• 24G (0,74) - dł. 19mm; przepływ     29 ml/min</w:t>
      </w:r>
    </w:p>
    <w:p w:rsidR="00A906FD" w:rsidRPr="00A906FD" w:rsidRDefault="00A906FD" w:rsidP="00A906FD">
      <w:pPr>
        <w:spacing w:after="0"/>
        <w:rPr>
          <w:sz w:val="20"/>
          <w:szCs w:val="20"/>
          <w:lang w:eastAsia="pl-PL"/>
        </w:rPr>
      </w:pPr>
      <w:r w:rsidRPr="00A906FD">
        <w:rPr>
          <w:sz w:val="20"/>
          <w:szCs w:val="20"/>
          <w:lang w:eastAsia="pl-PL"/>
        </w:rPr>
        <w:t>• 22G (0,90) - dł. 25mm; przepływ     42 ml/min</w:t>
      </w:r>
      <w:r w:rsidRPr="00A906FD">
        <w:rPr>
          <w:sz w:val="20"/>
          <w:szCs w:val="20"/>
          <w:lang w:eastAsia="pl-PL"/>
        </w:rPr>
        <w:br/>
        <w:t>• 20G (1,00)- dł. 32mm; przepływ     59 ml/min</w:t>
      </w:r>
      <w:r w:rsidRPr="00A906FD">
        <w:rPr>
          <w:sz w:val="20"/>
          <w:szCs w:val="20"/>
          <w:lang w:eastAsia="pl-PL"/>
        </w:rPr>
        <w:br/>
        <w:t>• 18G (1,30) - dł. 45mm; przepływ     96 ml/min</w:t>
      </w:r>
    </w:p>
    <w:p w:rsidR="00A906FD" w:rsidRPr="00A906FD" w:rsidRDefault="00A906FD" w:rsidP="00A906FD">
      <w:pPr>
        <w:spacing w:after="0"/>
        <w:rPr>
          <w:sz w:val="20"/>
          <w:szCs w:val="20"/>
        </w:rPr>
      </w:pPr>
      <w:r w:rsidRPr="00A906FD">
        <w:rPr>
          <w:sz w:val="20"/>
          <w:szCs w:val="20"/>
          <w:lang w:eastAsia="pl-PL"/>
        </w:rPr>
        <w:t>• 18G (1,30) - dł. 32mm; przepływ     103 ml/min?</w:t>
      </w:r>
      <w:r w:rsidRPr="00A906FD">
        <w:rPr>
          <w:sz w:val="20"/>
          <w:szCs w:val="20"/>
          <w:lang w:eastAsia="pl-PL"/>
        </w:rPr>
        <w:br/>
      </w:r>
    </w:p>
    <w:p w:rsidR="00A906FD" w:rsidRPr="00A906FD" w:rsidRDefault="00A906FD" w:rsidP="00A906FD">
      <w:pPr>
        <w:spacing w:after="0"/>
        <w:rPr>
          <w:sz w:val="20"/>
          <w:szCs w:val="20"/>
          <w:lang w:eastAsia="pl-PL"/>
        </w:rPr>
      </w:pPr>
    </w:p>
    <w:p w:rsidR="00A906FD" w:rsidRPr="00A906FD" w:rsidRDefault="00A906FD" w:rsidP="00A906FD">
      <w:pPr>
        <w:spacing w:after="0"/>
        <w:rPr>
          <w:sz w:val="20"/>
          <w:szCs w:val="20"/>
          <w:lang w:eastAsia="pl-PL"/>
        </w:rPr>
      </w:pPr>
    </w:p>
    <w:p w:rsidR="002C06F2" w:rsidRPr="00A906FD" w:rsidRDefault="00A906FD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906FD">
        <w:rPr>
          <w:sz w:val="20"/>
          <w:szCs w:val="20"/>
        </w:rPr>
        <w:t xml:space="preserve">Zgoda Zamawiającego na  pytania umożliwi naszej firmie przystąpienie do przetargu na zasadzie wolnej konkurencji oraz zaoferowanie najwyższej jakości kaniul dożylnych włoskiej firmy Delta </w:t>
      </w:r>
      <w:proofErr w:type="spellStart"/>
      <w:r w:rsidRPr="00A906FD">
        <w:rPr>
          <w:sz w:val="20"/>
          <w:szCs w:val="20"/>
        </w:rPr>
        <w:t>Med</w:t>
      </w:r>
      <w:proofErr w:type="spellEnd"/>
      <w:r w:rsidRPr="00A906FD">
        <w:rPr>
          <w:sz w:val="20"/>
          <w:szCs w:val="20"/>
        </w:rPr>
        <w:t>, natomiast Zamawiającemu wybór oferty spośród ich większej ilości, co będzie korzystne dla Zamawiającego ze względów ekonomicznych.</w:t>
      </w:r>
    </w:p>
    <w:p w:rsidR="00A906FD" w:rsidRDefault="00A906FD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i/>
          <w:sz w:val="20"/>
          <w:szCs w:val="24"/>
        </w:rPr>
      </w:pPr>
      <w:r w:rsidRPr="00A906FD">
        <w:rPr>
          <w:b/>
          <w:i/>
          <w:sz w:val="20"/>
          <w:szCs w:val="24"/>
        </w:rPr>
        <w:t>ODP.:</w:t>
      </w:r>
      <w:r w:rsidR="005E21F7" w:rsidRPr="005E21F7">
        <w:rPr>
          <w:b/>
          <w:i/>
          <w:sz w:val="20"/>
          <w:szCs w:val="24"/>
        </w:rPr>
        <w:t xml:space="preserve"> </w:t>
      </w:r>
      <w:r w:rsidR="005E21F7">
        <w:rPr>
          <w:b/>
          <w:i/>
          <w:sz w:val="20"/>
          <w:szCs w:val="24"/>
        </w:rPr>
        <w:t xml:space="preserve">Zamawiający nie wyraża zgody na takie rozwiązanie ponieważ wymaga kaniul dożylnych bezpiecznych bez portów, a oferowana kaniula dożylna bezpieczna posiada port </w:t>
      </w:r>
      <w:r w:rsidR="005E21F7">
        <w:rPr>
          <w:b/>
          <w:i/>
          <w:sz w:val="20"/>
          <w:szCs w:val="24"/>
        </w:rPr>
        <w:t>boczny.</w:t>
      </w:r>
    </w:p>
    <w:p w:rsidR="00F95F79" w:rsidRDefault="00F95F79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i/>
          <w:sz w:val="20"/>
          <w:szCs w:val="24"/>
        </w:rPr>
      </w:pPr>
    </w:p>
    <w:p w:rsidR="00A906FD" w:rsidRDefault="00A906FD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4"/>
        </w:rPr>
      </w:pPr>
      <w:r w:rsidRPr="00A906FD">
        <w:rPr>
          <w:b/>
          <w:sz w:val="20"/>
          <w:szCs w:val="24"/>
        </w:rPr>
        <w:t>III.</w:t>
      </w:r>
    </w:p>
    <w:p w:rsidR="00F95F79" w:rsidRPr="00A906FD" w:rsidRDefault="00F95F79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4"/>
        </w:rPr>
      </w:pP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proofErr w:type="spellStart"/>
      <w:r w:rsidRPr="00A71889">
        <w:rPr>
          <w:rFonts w:ascii="Calibri" w:hAnsi="Calibri"/>
          <w:b/>
          <w:bCs/>
          <w:sz w:val="20"/>
          <w:szCs w:val="20"/>
        </w:rPr>
        <w:t>Pakiet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1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proofErr w:type="spellStart"/>
      <w:r w:rsidRPr="00A71889">
        <w:rPr>
          <w:rFonts w:ascii="Calibri" w:hAnsi="Calibri"/>
          <w:b/>
          <w:bCs/>
          <w:sz w:val="20"/>
          <w:szCs w:val="20"/>
        </w:rPr>
        <w:t>Czy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Zamawiający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dopuści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poniższe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kaniule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dożylne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b/>
          <w:bCs/>
          <w:sz w:val="20"/>
          <w:szCs w:val="20"/>
        </w:rPr>
        <w:t>bezpieczne</w:t>
      </w:r>
      <w:proofErr w:type="spellEnd"/>
      <w:r w:rsidRPr="00A71889">
        <w:rPr>
          <w:rFonts w:ascii="Calibri" w:hAnsi="Calibri"/>
          <w:b/>
          <w:bCs/>
          <w:sz w:val="20"/>
          <w:szCs w:val="20"/>
        </w:rPr>
        <w:t xml:space="preserve"> :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/>
          <w:sz w:val="20"/>
          <w:szCs w:val="20"/>
        </w:rPr>
        <w:t xml:space="preserve">WŁAŚCIWOŚCI: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posiada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pasywne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zabezpieczenie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przed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zakłuciem</w:t>
      </w:r>
      <w:proofErr w:type="spellEnd"/>
      <w:r w:rsidRPr="00A71889">
        <w:rPr>
          <w:rFonts w:ascii="Calibri" w:hAnsi="Calibri"/>
          <w:sz w:val="20"/>
          <w:szCs w:val="20"/>
        </w:rPr>
        <w:t xml:space="preserve"> - </w:t>
      </w:r>
      <w:proofErr w:type="spellStart"/>
      <w:r w:rsidRPr="00A71889">
        <w:rPr>
          <w:rFonts w:ascii="Calibri" w:hAnsi="Calibri"/>
          <w:sz w:val="20"/>
          <w:szCs w:val="20"/>
        </w:rPr>
        <w:t>ostra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część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igły</w:t>
      </w:r>
      <w:proofErr w:type="spellEnd"/>
      <w:r w:rsidRPr="00A71889">
        <w:rPr>
          <w:rFonts w:ascii="Calibri" w:hAnsi="Calibri"/>
          <w:sz w:val="20"/>
          <w:szCs w:val="20"/>
        </w:rPr>
        <w:t xml:space="preserve"> (</w:t>
      </w:r>
      <w:proofErr w:type="spellStart"/>
      <w:r w:rsidRPr="00A71889">
        <w:rPr>
          <w:rFonts w:ascii="Calibri" w:hAnsi="Calibri"/>
          <w:sz w:val="20"/>
          <w:szCs w:val="20"/>
        </w:rPr>
        <w:t>mandrynu</w:t>
      </w:r>
      <w:proofErr w:type="spellEnd"/>
      <w:r w:rsidRPr="00A71889">
        <w:rPr>
          <w:rFonts w:ascii="Calibri" w:hAnsi="Calibri"/>
          <w:sz w:val="20"/>
          <w:szCs w:val="20"/>
        </w:rPr>
        <w:t xml:space="preserve">) </w:t>
      </w:r>
      <w:proofErr w:type="spellStart"/>
      <w:r w:rsidRPr="00A71889">
        <w:rPr>
          <w:rFonts w:ascii="Calibri" w:hAnsi="Calibri"/>
          <w:sz w:val="20"/>
          <w:szCs w:val="20"/>
        </w:rPr>
        <w:t>po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wyciągnięciu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zostanie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proofErr w:type="spellStart"/>
      <w:r w:rsidRPr="00A71889">
        <w:rPr>
          <w:rFonts w:ascii="Calibri" w:hAnsi="Calibri"/>
          <w:sz w:val="20"/>
          <w:szCs w:val="20"/>
        </w:rPr>
        <w:t>samoistnie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osłonięta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elementem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zabezpieczającym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chroniąc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użytkownika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przed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przypadkowym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zakłuciem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lub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proofErr w:type="spellStart"/>
      <w:r w:rsidRPr="00A71889">
        <w:rPr>
          <w:rFonts w:ascii="Calibri" w:hAnsi="Calibri"/>
          <w:sz w:val="20"/>
          <w:szCs w:val="20"/>
        </w:rPr>
        <w:t>zranieniem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lastRenderedPageBreak/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igła</w:t>
      </w:r>
      <w:proofErr w:type="spellEnd"/>
      <w:r w:rsidRPr="00A71889">
        <w:rPr>
          <w:rFonts w:ascii="Calibri" w:hAnsi="Calibri"/>
          <w:sz w:val="20"/>
          <w:szCs w:val="20"/>
        </w:rPr>
        <w:t xml:space="preserve"> (</w:t>
      </w:r>
      <w:proofErr w:type="spellStart"/>
      <w:r w:rsidRPr="00A71889">
        <w:rPr>
          <w:rFonts w:ascii="Calibri" w:hAnsi="Calibri"/>
          <w:sz w:val="20"/>
          <w:szCs w:val="20"/>
        </w:rPr>
        <w:t>mandryn</w:t>
      </w:r>
      <w:proofErr w:type="spellEnd"/>
      <w:r w:rsidRPr="00A71889">
        <w:rPr>
          <w:rFonts w:ascii="Calibri" w:hAnsi="Calibri"/>
          <w:sz w:val="20"/>
          <w:szCs w:val="20"/>
        </w:rPr>
        <w:t xml:space="preserve">) </w:t>
      </w:r>
      <w:proofErr w:type="spellStart"/>
      <w:r w:rsidRPr="00A71889">
        <w:rPr>
          <w:rFonts w:ascii="Calibri" w:hAnsi="Calibri"/>
          <w:sz w:val="20"/>
          <w:szCs w:val="20"/>
        </w:rPr>
        <w:t>wykonana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stali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nierdzewnej</w:t>
      </w:r>
      <w:proofErr w:type="spellEnd"/>
      <w:r w:rsidRPr="00A71889">
        <w:rPr>
          <w:rFonts w:ascii="Calibri" w:hAnsi="Calibri"/>
          <w:sz w:val="20"/>
          <w:szCs w:val="20"/>
        </w:rPr>
        <w:t xml:space="preserve"> z </w:t>
      </w:r>
      <w:proofErr w:type="spellStart"/>
      <w:r w:rsidRPr="00A71889">
        <w:rPr>
          <w:rFonts w:ascii="Calibri" w:hAnsi="Calibri"/>
          <w:sz w:val="20"/>
          <w:szCs w:val="20"/>
        </w:rPr>
        <w:t>ostrzem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typu</w:t>
      </w:r>
      <w:proofErr w:type="spellEnd"/>
      <w:r w:rsidRPr="00A71889">
        <w:rPr>
          <w:rFonts w:ascii="Calibri" w:hAnsi="Calibri"/>
          <w:sz w:val="20"/>
          <w:szCs w:val="20"/>
        </w:rPr>
        <w:t xml:space="preserve"> back-cut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cewnik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kaniuli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wykonany</w:t>
      </w:r>
      <w:proofErr w:type="spellEnd"/>
      <w:r w:rsidRPr="00A71889">
        <w:rPr>
          <w:rFonts w:ascii="Calibri" w:hAnsi="Calibri"/>
          <w:sz w:val="20"/>
          <w:szCs w:val="20"/>
        </w:rPr>
        <w:t xml:space="preserve"> z </w:t>
      </w:r>
      <w:proofErr w:type="spellStart"/>
      <w:r w:rsidRPr="00A71889">
        <w:rPr>
          <w:rFonts w:ascii="Calibri" w:hAnsi="Calibri"/>
          <w:sz w:val="20"/>
          <w:szCs w:val="20"/>
        </w:rPr>
        <w:t>poliuretanu</w:t>
      </w:r>
      <w:proofErr w:type="spellEnd"/>
      <w:r w:rsidRPr="00A71889">
        <w:rPr>
          <w:rFonts w:ascii="Calibri" w:hAnsi="Calibri"/>
          <w:sz w:val="20"/>
          <w:szCs w:val="20"/>
        </w:rPr>
        <w:t xml:space="preserve"> (PUR), </w:t>
      </w:r>
      <w:proofErr w:type="spellStart"/>
      <w:r w:rsidRPr="00A71889">
        <w:rPr>
          <w:rFonts w:ascii="Calibri" w:hAnsi="Calibri"/>
          <w:sz w:val="20"/>
          <w:szCs w:val="20"/>
        </w:rPr>
        <w:t>wyposażony</w:t>
      </w:r>
      <w:proofErr w:type="spellEnd"/>
      <w:r w:rsidRPr="00A71889">
        <w:rPr>
          <w:rFonts w:ascii="Calibri" w:hAnsi="Calibri"/>
          <w:sz w:val="20"/>
          <w:szCs w:val="20"/>
        </w:rPr>
        <w:t xml:space="preserve"> w 6 </w:t>
      </w:r>
      <w:proofErr w:type="spellStart"/>
      <w:r w:rsidRPr="00A71889">
        <w:rPr>
          <w:rFonts w:ascii="Calibri" w:hAnsi="Calibri"/>
          <w:sz w:val="20"/>
          <w:szCs w:val="20"/>
        </w:rPr>
        <w:t>pasków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kontrastujących</w:t>
      </w:r>
      <w:proofErr w:type="spellEnd"/>
      <w:r w:rsidRPr="00A71889">
        <w:rPr>
          <w:rFonts w:ascii="Calibri" w:hAnsi="Calibri"/>
          <w:sz w:val="20"/>
          <w:szCs w:val="20"/>
        </w:rPr>
        <w:t xml:space="preserve"> w RTG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kaniula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wyposażona</w:t>
      </w:r>
      <w:proofErr w:type="spellEnd"/>
      <w:r w:rsidRPr="00A71889">
        <w:rPr>
          <w:rFonts w:ascii="Calibri" w:hAnsi="Calibri"/>
          <w:sz w:val="20"/>
          <w:szCs w:val="20"/>
        </w:rPr>
        <w:t xml:space="preserve"> w </w:t>
      </w:r>
      <w:proofErr w:type="spellStart"/>
      <w:r w:rsidRPr="00A71889">
        <w:rPr>
          <w:rFonts w:ascii="Calibri" w:hAnsi="Calibri"/>
          <w:sz w:val="20"/>
          <w:szCs w:val="20"/>
        </w:rPr>
        <w:t>kolorystycznie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barwione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skrzydełka</w:t>
      </w:r>
      <w:proofErr w:type="spellEnd"/>
      <w:r w:rsidRPr="00A71889">
        <w:rPr>
          <w:rFonts w:ascii="Calibri" w:hAnsi="Calibri"/>
          <w:sz w:val="20"/>
          <w:szCs w:val="20"/>
        </w:rPr>
        <w:t xml:space="preserve"> z </w:t>
      </w:r>
      <w:proofErr w:type="spellStart"/>
      <w:r w:rsidRPr="00A71889">
        <w:rPr>
          <w:rFonts w:ascii="Calibri" w:hAnsi="Calibri"/>
          <w:sz w:val="20"/>
          <w:szCs w:val="20"/>
        </w:rPr>
        <w:t>możliwością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przyszycia</w:t>
      </w:r>
      <w:proofErr w:type="spellEnd"/>
      <w:r w:rsidRPr="00A71889">
        <w:rPr>
          <w:rFonts w:ascii="Calibri" w:hAnsi="Calibri"/>
          <w:sz w:val="20"/>
          <w:szCs w:val="20"/>
        </w:rPr>
        <w:t xml:space="preserve"> do </w:t>
      </w:r>
      <w:proofErr w:type="spellStart"/>
      <w:r w:rsidRPr="00A71889">
        <w:rPr>
          <w:rFonts w:ascii="Calibri" w:hAnsi="Calibri"/>
          <w:sz w:val="20"/>
          <w:szCs w:val="20"/>
        </w:rPr>
        <w:t>skóry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oraz</w:t>
      </w:r>
      <w:proofErr w:type="spellEnd"/>
      <w:r w:rsidRPr="00A71889">
        <w:rPr>
          <w:rFonts w:ascii="Calibri" w:hAnsi="Calibri"/>
          <w:sz w:val="20"/>
          <w:szCs w:val="20"/>
        </w:rPr>
        <w:t xml:space="preserve"> w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proofErr w:type="spellStart"/>
      <w:r w:rsidRPr="00A71889">
        <w:rPr>
          <w:rFonts w:ascii="Calibri" w:hAnsi="Calibri"/>
          <w:sz w:val="20"/>
          <w:szCs w:val="20"/>
        </w:rPr>
        <w:t>samodomykający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się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koreczek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portu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górnego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barwiony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kolorystycznie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zależnie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od </w:t>
      </w:r>
      <w:proofErr w:type="spellStart"/>
      <w:r w:rsidRPr="00A71889">
        <w:rPr>
          <w:rFonts w:ascii="Calibri" w:hAnsi="Calibri"/>
          <w:sz w:val="20"/>
          <w:szCs w:val="20"/>
        </w:rPr>
        <w:t>rozmiaru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uchwyt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umożliwiający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wykonanie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wkłucia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jedną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ręką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filtr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hydrofobowy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zabezpieczający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przed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wypływem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krwi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po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wprowadzeniu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kaniuli</w:t>
      </w:r>
      <w:proofErr w:type="spellEnd"/>
      <w:r w:rsidRPr="00A71889">
        <w:rPr>
          <w:rFonts w:ascii="Calibri" w:hAnsi="Calibri"/>
          <w:sz w:val="20"/>
          <w:szCs w:val="20"/>
        </w:rPr>
        <w:t xml:space="preserve"> do </w:t>
      </w:r>
      <w:proofErr w:type="spellStart"/>
      <w:r w:rsidRPr="00A71889">
        <w:rPr>
          <w:rFonts w:ascii="Calibri" w:hAnsi="Calibri"/>
          <w:sz w:val="20"/>
          <w:szCs w:val="20"/>
        </w:rPr>
        <w:t>naczynia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dostępna</w:t>
      </w:r>
      <w:proofErr w:type="spellEnd"/>
      <w:r w:rsidRPr="00A71889">
        <w:rPr>
          <w:rFonts w:ascii="Calibri" w:hAnsi="Calibri"/>
          <w:sz w:val="20"/>
          <w:szCs w:val="20"/>
        </w:rPr>
        <w:t xml:space="preserve"> w </w:t>
      </w:r>
      <w:proofErr w:type="spellStart"/>
      <w:r w:rsidRPr="00A71889">
        <w:rPr>
          <w:rFonts w:ascii="Calibri" w:hAnsi="Calibri"/>
          <w:sz w:val="20"/>
          <w:szCs w:val="20"/>
        </w:rPr>
        <w:t>różnych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rozmiarach</w:t>
      </w:r>
      <w:proofErr w:type="spellEnd"/>
      <w:r w:rsidRPr="00A71889">
        <w:rPr>
          <w:rFonts w:ascii="Calibri" w:hAnsi="Calibri"/>
          <w:sz w:val="20"/>
          <w:szCs w:val="20"/>
        </w:rPr>
        <w:t xml:space="preserve"> od 14 G do 24 G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jednorazowego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użytku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zawiera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lateksu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nie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zawiera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ftalanów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sterylizowana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tlenkiem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etylenu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Pr="00A71889" w:rsidRDefault="00F95F79" w:rsidP="00F95F79">
      <w:pPr>
        <w:pStyle w:val="Default"/>
        <w:rPr>
          <w:rFonts w:ascii="Calibri" w:hAnsi="Calibri"/>
          <w:sz w:val="20"/>
          <w:szCs w:val="20"/>
        </w:rPr>
      </w:pPr>
      <w:r w:rsidRPr="00A71889">
        <w:rPr>
          <w:rFonts w:ascii="Calibri" w:hAnsi="Calibri" w:cs="Times New Roman"/>
          <w:sz w:val="20"/>
          <w:szCs w:val="20"/>
        </w:rPr>
        <w:t>▪</w:t>
      </w:r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pakowanie</w:t>
      </w:r>
      <w:proofErr w:type="spellEnd"/>
      <w:r w:rsidRPr="00A71889">
        <w:rPr>
          <w:rFonts w:ascii="Calibri" w:hAnsi="Calibri"/>
          <w:sz w:val="20"/>
          <w:szCs w:val="20"/>
        </w:rPr>
        <w:t xml:space="preserve">: 1 </w:t>
      </w:r>
      <w:proofErr w:type="spellStart"/>
      <w:r w:rsidRPr="00A71889">
        <w:rPr>
          <w:rFonts w:ascii="Calibri" w:hAnsi="Calibri"/>
          <w:sz w:val="20"/>
          <w:szCs w:val="20"/>
        </w:rPr>
        <w:t>sztuka</w:t>
      </w:r>
      <w:proofErr w:type="spellEnd"/>
      <w:r w:rsidRPr="00A71889">
        <w:rPr>
          <w:rFonts w:ascii="Calibri" w:hAnsi="Calibri"/>
          <w:sz w:val="20"/>
          <w:szCs w:val="20"/>
        </w:rPr>
        <w:t xml:space="preserve"> – </w:t>
      </w:r>
      <w:proofErr w:type="spellStart"/>
      <w:r w:rsidRPr="00A71889">
        <w:rPr>
          <w:rFonts w:ascii="Calibri" w:hAnsi="Calibri"/>
          <w:sz w:val="20"/>
          <w:szCs w:val="20"/>
        </w:rPr>
        <w:t>twardy</w:t>
      </w:r>
      <w:proofErr w:type="spellEnd"/>
      <w:r w:rsidRPr="00A71889">
        <w:rPr>
          <w:rFonts w:ascii="Calibri" w:hAnsi="Calibri"/>
          <w:sz w:val="20"/>
          <w:szCs w:val="20"/>
        </w:rPr>
        <w:t xml:space="preserve"> blister (PVC + TYVEC) z </w:t>
      </w:r>
      <w:proofErr w:type="spellStart"/>
      <w:r w:rsidRPr="00A71889">
        <w:rPr>
          <w:rFonts w:ascii="Calibri" w:hAnsi="Calibri"/>
          <w:sz w:val="20"/>
          <w:szCs w:val="20"/>
        </w:rPr>
        <w:t>kolorowym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zadrukiem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zgodnym</w:t>
      </w:r>
      <w:proofErr w:type="spellEnd"/>
      <w:r w:rsidRPr="00A71889">
        <w:rPr>
          <w:rFonts w:ascii="Calibri" w:hAnsi="Calibri"/>
          <w:sz w:val="20"/>
          <w:szCs w:val="20"/>
        </w:rPr>
        <w:t xml:space="preserve"> z </w:t>
      </w:r>
      <w:proofErr w:type="spellStart"/>
      <w:r w:rsidRPr="00A71889">
        <w:rPr>
          <w:rFonts w:ascii="Calibri" w:hAnsi="Calibri"/>
          <w:sz w:val="20"/>
          <w:szCs w:val="20"/>
        </w:rPr>
        <w:t>identyfikacją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kolorystyczną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  <w:proofErr w:type="spellStart"/>
      <w:r w:rsidRPr="00A71889">
        <w:rPr>
          <w:rFonts w:ascii="Calibri" w:hAnsi="Calibri"/>
          <w:sz w:val="20"/>
          <w:szCs w:val="20"/>
        </w:rPr>
        <w:t>rozmiaru</w:t>
      </w:r>
      <w:proofErr w:type="spellEnd"/>
      <w:r w:rsidRPr="00A71889">
        <w:rPr>
          <w:rFonts w:ascii="Calibri" w:hAnsi="Calibri"/>
          <w:sz w:val="20"/>
          <w:szCs w:val="20"/>
        </w:rPr>
        <w:t xml:space="preserve"> </w:t>
      </w:r>
    </w:p>
    <w:p w:rsidR="00F95F79" w:rsidRDefault="00F95F79" w:rsidP="00F95F79">
      <w:pPr>
        <w:spacing w:after="0" w:line="240" w:lineRule="auto"/>
        <w:rPr>
          <w:sz w:val="20"/>
          <w:szCs w:val="20"/>
        </w:rPr>
      </w:pPr>
      <w:r w:rsidRPr="00A71889">
        <w:rPr>
          <w:sz w:val="20"/>
          <w:szCs w:val="20"/>
        </w:rPr>
        <w:t>Z góry dziękujemy za pozytywne rozpatrzenie naszej prośby.</w:t>
      </w:r>
    </w:p>
    <w:p w:rsidR="00F95F79" w:rsidRPr="00F95F79" w:rsidRDefault="00F95F79" w:rsidP="00F95F79">
      <w:pPr>
        <w:spacing w:after="0" w:line="240" w:lineRule="auto"/>
        <w:rPr>
          <w:b/>
          <w:i/>
          <w:sz w:val="20"/>
          <w:szCs w:val="20"/>
        </w:rPr>
      </w:pPr>
      <w:r w:rsidRPr="00F95F79">
        <w:rPr>
          <w:b/>
          <w:i/>
          <w:sz w:val="20"/>
          <w:szCs w:val="20"/>
        </w:rPr>
        <w:t>ODP.:</w:t>
      </w:r>
      <w:r w:rsidR="005E21F7" w:rsidRPr="005E21F7">
        <w:rPr>
          <w:b/>
          <w:i/>
          <w:sz w:val="20"/>
          <w:szCs w:val="24"/>
        </w:rPr>
        <w:t xml:space="preserve"> </w:t>
      </w:r>
      <w:r w:rsidR="005E21F7">
        <w:rPr>
          <w:b/>
          <w:i/>
          <w:sz w:val="20"/>
          <w:szCs w:val="24"/>
        </w:rPr>
        <w:t xml:space="preserve">Zamawiający nie wyraża zgody na takie rozwiązanie ponieważ wymaga kaniul dożylnych bezpiecznych bez portów, a oferowana kaniula dożylna bezpieczna posiada port </w:t>
      </w:r>
      <w:r w:rsidR="005E21F7">
        <w:rPr>
          <w:b/>
          <w:i/>
          <w:sz w:val="20"/>
          <w:szCs w:val="24"/>
        </w:rPr>
        <w:t>górny.</w:t>
      </w:r>
    </w:p>
    <w:p w:rsidR="00A906FD" w:rsidRDefault="00A906FD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sz w:val="20"/>
          <w:szCs w:val="24"/>
        </w:rPr>
      </w:pPr>
    </w:p>
    <w:p w:rsidR="005E63B5" w:rsidRPr="00A906FD" w:rsidRDefault="005E63B5" w:rsidP="00A906FD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sz w:val="20"/>
          <w:szCs w:val="24"/>
        </w:rPr>
      </w:pPr>
      <w:bookmarkStart w:id="0" w:name="_GoBack"/>
      <w:bookmarkEnd w:id="0"/>
    </w:p>
    <w:p w:rsidR="005E63B5" w:rsidRPr="00834293" w:rsidRDefault="005E63B5" w:rsidP="005E63B5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4"/>
        </w:rPr>
      </w:pPr>
      <w:r w:rsidRPr="00834293">
        <w:rPr>
          <w:sz w:val="20"/>
          <w:szCs w:val="24"/>
        </w:rPr>
        <w:t>Sporządził</w:t>
      </w:r>
    </w:p>
    <w:p w:rsidR="005E63B5" w:rsidRPr="00834293" w:rsidRDefault="005E63B5" w:rsidP="005E63B5">
      <w:pPr>
        <w:spacing w:after="0" w:line="240" w:lineRule="auto"/>
        <w:rPr>
          <w:rFonts w:eastAsia="Times New Roman"/>
          <w:sz w:val="20"/>
          <w:szCs w:val="24"/>
          <w:lang w:eastAsia="pl-PL"/>
        </w:rPr>
      </w:pPr>
      <w:r w:rsidRPr="00834293">
        <w:rPr>
          <w:rFonts w:eastAsia="Times New Roman"/>
          <w:sz w:val="20"/>
          <w:szCs w:val="24"/>
          <w:lang w:eastAsia="pl-PL"/>
        </w:rPr>
        <w:t>Łukasz Maciążek</w:t>
      </w:r>
    </w:p>
    <w:p w:rsidR="005E21F7" w:rsidRDefault="005E21F7" w:rsidP="005E63B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sz w:val="20"/>
          <w:szCs w:val="24"/>
        </w:rPr>
      </w:pPr>
    </w:p>
    <w:p w:rsidR="005E21F7" w:rsidRDefault="005E21F7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rPr>
          <w:sz w:val="20"/>
          <w:szCs w:val="24"/>
        </w:rPr>
      </w:pPr>
    </w:p>
    <w:p w:rsidR="005E21F7" w:rsidRDefault="005E21F7" w:rsidP="002C06F2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rPr>
          <w:sz w:val="20"/>
          <w:szCs w:val="24"/>
        </w:rPr>
      </w:pP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  <w:r w:rsidRPr="00834293">
        <w:rPr>
          <w:sz w:val="20"/>
          <w:szCs w:val="24"/>
        </w:rPr>
        <w:t xml:space="preserve">Końskie </w:t>
      </w:r>
      <w:r w:rsidR="005E21F7">
        <w:rPr>
          <w:sz w:val="20"/>
          <w:szCs w:val="24"/>
        </w:rPr>
        <w:t>31.01.</w:t>
      </w:r>
      <w:r w:rsidR="00C06EEF">
        <w:rPr>
          <w:sz w:val="20"/>
          <w:szCs w:val="24"/>
        </w:rPr>
        <w:t>2023</w:t>
      </w:r>
      <w:r w:rsidR="00834293" w:rsidRPr="00834293">
        <w:rPr>
          <w:sz w:val="20"/>
          <w:szCs w:val="24"/>
        </w:rPr>
        <w:t>r</w:t>
      </w:r>
      <w:r w:rsidR="000C0803" w:rsidRPr="00834293">
        <w:rPr>
          <w:sz w:val="20"/>
          <w:szCs w:val="24"/>
        </w:rPr>
        <w:t>.</w:t>
      </w: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</w:p>
    <w:p w:rsidR="00C37044" w:rsidRPr="00834293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6372"/>
        <w:rPr>
          <w:sz w:val="20"/>
          <w:szCs w:val="24"/>
        </w:rPr>
      </w:pPr>
      <w:r w:rsidRPr="00834293">
        <w:rPr>
          <w:sz w:val="20"/>
          <w:szCs w:val="24"/>
        </w:rPr>
        <w:t xml:space="preserve">  </w:t>
      </w:r>
      <w:r w:rsidR="00F462DD" w:rsidRPr="00834293">
        <w:rPr>
          <w:sz w:val="20"/>
          <w:szCs w:val="24"/>
        </w:rPr>
        <w:t xml:space="preserve">     </w:t>
      </w:r>
      <w:r w:rsidR="00C06EEF">
        <w:rPr>
          <w:sz w:val="20"/>
          <w:szCs w:val="24"/>
        </w:rPr>
        <w:t xml:space="preserve">       Dyrektor</w:t>
      </w: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  <w:r w:rsidRPr="00834293">
        <w:rPr>
          <w:sz w:val="20"/>
          <w:szCs w:val="24"/>
        </w:rPr>
        <w:t>Zespołu Opieki Zdrowotnej</w:t>
      </w: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5664"/>
        <w:jc w:val="center"/>
        <w:rPr>
          <w:sz w:val="20"/>
          <w:szCs w:val="24"/>
        </w:rPr>
      </w:pPr>
      <w:r w:rsidRPr="00834293">
        <w:rPr>
          <w:sz w:val="20"/>
          <w:szCs w:val="24"/>
        </w:rPr>
        <w:t>w  Końskich</w:t>
      </w: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4"/>
        </w:rPr>
      </w:pPr>
    </w:p>
    <w:p w:rsidR="00C37044" w:rsidRPr="00834293" w:rsidRDefault="00C37044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4"/>
        </w:rPr>
      </w:pPr>
    </w:p>
    <w:p w:rsidR="004E6341" w:rsidRPr="00834293" w:rsidRDefault="004E6341" w:rsidP="00C3704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sz w:val="20"/>
          <w:szCs w:val="24"/>
        </w:rPr>
      </w:pPr>
    </w:p>
    <w:p w:rsidR="00C37044" w:rsidRPr="00834293" w:rsidRDefault="00C37044" w:rsidP="00C37044">
      <w:pPr>
        <w:tabs>
          <w:tab w:val="left" w:pos="0"/>
          <w:tab w:val="left" w:pos="284"/>
        </w:tabs>
        <w:spacing w:after="0" w:line="240" w:lineRule="auto"/>
        <w:rPr>
          <w:sz w:val="20"/>
          <w:szCs w:val="24"/>
        </w:rPr>
      </w:pP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</w:r>
      <w:r w:rsidRPr="00834293">
        <w:rPr>
          <w:sz w:val="20"/>
          <w:szCs w:val="24"/>
        </w:rPr>
        <w:tab/>
        <w:t xml:space="preserve">       </w:t>
      </w:r>
      <w:r w:rsidR="007B3D4E" w:rsidRPr="00834293">
        <w:rPr>
          <w:sz w:val="20"/>
          <w:szCs w:val="24"/>
        </w:rPr>
        <w:t xml:space="preserve">     </w:t>
      </w:r>
      <w:r w:rsidRPr="00834293">
        <w:rPr>
          <w:sz w:val="20"/>
          <w:szCs w:val="24"/>
        </w:rPr>
        <w:t xml:space="preserve">  </w:t>
      </w:r>
      <w:r w:rsidR="00F462DD" w:rsidRPr="00834293">
        <w:rPr>
          <w:sz w:val="20"/>
          <w:szCs w:val="24"/>
        </w:rPr>
        <w:t xml:space="preserve">  </w:t>
      </w:r>
      <w:r w:rsidR="00C06EEF">
        <w:rPr>
          <w:sz w:val="20"/>
          <w:szCs w:val="24"/>
        </w:rPr>
        <w:t xml:space="preserve">            mgr Anna Gil</w:t>
      </w:r>
    </w:p>
    <w:p w:rsidR="00C37044" w:rsidRPr="00834293" w:rsidRDefault="00C37044" w:rsidP="00C37044">
      <w:pPr>
        <w:tabs>
          <w:tab w:val="left" w:pos="0"/>
          <w:tab w:val="left" w:pos="284"/>
        </w:tabs>
        <w:spacing w:after="0" w:line="240" w:lineRule="auto"/>
        <w:jc w:val="center"/>
        <w:rPr>
          <w:sz w:val="20"/>
          <w:szCs w:val="24"/>
        </w:rPr>
      </w:pPr>
    </w:p>
    <w:p w:rsidR="00C37044" w:rsidRPr="00834293" w:rsidRDefault="00C37044" w:rsidP="00C3704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4"/>
        </w:rPr>
      </w:pPr>
    </w:p>
    <w:p w:rsidR="00536E7E" w:rsidRPr="00834293" w:rsidRDefault="00536E7E">
      <w:pPr>
        <w:rPr>
          <w:sz w:val="20"/>
          <w:szCs w:val="24"/>
        </w:rPr>
      </w:pPr>
    </w:p>
    <w:sectPr w:rsidR="00536E7E" w:rsidRPr="0083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NeueLT Std Cn">
    <w:altName w:val="Arial"/>
    <w:panose1 w:val="00000000000000000000"/>
    <w:charset w:val="1D"/>
    <w:family w:val="swiss"/>
    <w:notTrueType/>
    <w:pitch w:val="default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464A0"/>
    <w:multiLevelType w:val="multilevel"/>
    <w:tmpl w:val="3720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7227C"/>
    <w:multiLevelType w:val="hybridMultilevel"/>
    <w:tmpl w:val="621E7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6621A"/>
    <w:multiLevelType w:val="hybridMultilevel"/>
    <w:tmpl w:val="16E4A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662CF"/>
    <w:multiLevelType w:val="hybridMultilevel"/>
    <w:tmpl w:val="A3848404"/>
    <w:lvl w:ilvl="0" w:tplc="0C4AF3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7FF3A53"/>
    <w:multiLevelType w:val="multilevel"/>
    <w:tmpl w:val="7C66B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13106"/>
    <w:multiLevelType w:val="hybridMultilevel"/>
    <w:tmpl w:val="FE50F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102DA"/>
    <w:multiLevelType w:val="hybridMultilevel"/>
    <w:tmpl w:val="CB3EB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8D"/>
    <w:rsid w:val="000C0803"/>
    <w:rsid w:val="00123490"/>
    <w:rsid w:val="001E4F45"/>
    <w:rsid w:val="001E7063"/>
    <w:rsid w:val="00205B88"/>
    <w:rsid w:val="0021540A"/>
    <w:rsid w:val="002C06F2"/>
    <w:rsid w:val="002F5A3F"/>
    <w:rsid w:val="00367164"/>
    <w:rsid w:val="003A670B"/>
    <w:rsid w:val="003B6431"/>
    <w:rsid w:val="003C11AD"/>
    <w:rsid w:val="003F0704"/>
    <w:rsid w:val="00431B66"/>
    <w:rsid w:val="004E0E6A"/>
    <w:rsid w:val="004E6341"/>
    <w:rsid w:val="00536E7E"/>
    <w:rsid w:val="00545165"/>
    <w:rsid w:val="00595B35"/>
    <w:rsid w:val="005D501A"/>
    <w:rsid w:val="005E21F7"/>
    <w:rsid w:val="005E63B5"/>
    <w:rsid w:val="00632457"/>
    <w:rsid w:val="006414AD"/>
    <w:rsid w:val="006C5DF4"/>
    <w:rsid w:val="00724376"/>
    <w:rsid w:val="00742015"/>
    <w:rsid w:val="007760E4"/>
    <w:rsid w:val="007B3D4E"/>
    <w:rsid w:val="00834293"/>
    <w:rsid w:val="00890819"/>
    <w:rsid w:val="00996BD0"/>
    <w:rsid w:val="00A82CB3"/>
    <w:rsid w:val="00A906FD"/>
    <w:rsid w:val="00AF4959"/>
    <w:rsid w:val="00B9305D"/>
    <w:rsid w:val="00BE7488"/>
    <w:rsid w:val="00C06EEF"/>
    <w:rsid w:val="00C3278D"/>
    <w:rsid w:val="00C37044"/>
    <w:rsid w:val="00CB2532"/>
    <w:rsid w:val="00CC4BB4"/>
    <w:rsid w:val="00E51D26"/>
    <w:rsid w:val="00F462DD"/>
    <w:rsid w:val="00F939D2"/>
    <w:rsid w:val="00F9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  <w:style w:type="paragraph" w:customStyle="1" w:styleId="Akapitzlist1">
    <w:name w:val="Akapit z listą1"/>
    <w:basedOn w:val="Normalny"/>
    <w:rsid w:val="002C06F2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7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278D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Std Cn" w:eastAsia="MS Mincho" w:hAnsi="HelveticaNeueLT Std Cn" w:cs="HelveticaNeueLT Std Cn"/>
      <w:color w:val="000000"/>
      <w:sz w:val="24"/>
      <w:szCs w:val="24"/>
      <w:lang w:val="en-US" w:eastAsia="pl-PL"/>
    </w:rPr>
  </w:style>
  <w:style w:type="paragraph" w:customStyle="1" w:styleId="scfbrieftext">
    <w:name w:val="scfbrieftext"/>
    <w:basedOn w:val="Normalny"/>
    <w:uiPriority w:val="99"/>
    <w:rsid w:val="00C3278D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Uwydatnienie">
    <w:name w:val="Emphasis"/>
    <w:rsid w:val="00C3278D"/>
    <w:rPr>
      <w:i/>
      <w:iCs/>
    </w:rPr>
  </w:style>
  <w:style w:type="character" w:styleId="Pogrubienie">
    <w:name w:val="Strong"/>
    <w:rsid w:val="00C3278D"/>
    <w:rPr>
      <w:rFonts w:cs="Times New Roman"/>
      <w:b/>
    </w:rPr>
  </w:style>
  <w:style w:type="character" w:styleId="Hipercze">
    <w:name w:val="Hyperlink"/>
    <w:rsid w:val="00C370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0803"/>
    <w:pPr>
      <w:ind w:left="720"/>
      <w:contextualSpacing/>
    </w:pPr>
  </w:style>
  <w:style w:type="paragraph" w:customStyle="1" w:styleId="Akapitzlist1">
    <w:name w:val="Akapit z listą1"/>
    <w:basedOn w:val="Normalny"/>
    <w:rsid w:val="002C06F2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cp:lastModifiedBy>ADM_MS</cp:lastModifiedBy>
  <cp:revision>17</cp:revision>
  <cp:lastPrinted>2022-02-16T07:24:00Z</cp:lastPrinted>
  <dcterms:created xsi:type="dcterms:W3CDTF">2021-10-22T09:21:00Z</dcterms:created>
  <dcterms:modified xsi:type="dcterms:W3CDTF">2023-01-31T10:55:00Z</dcterms:modified>
</cp:coreProperties>
</file>