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Numer sprawy: DSUiZP 252/AD/5/2023                                                 Końskie 14.02.2023r.</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284" w:hanging="284"/>
        <w:jc w:val="center"/>
        <w:rPr>
          <w:rFonts w:ascii="Times New Roman" w:hAnsi="Times New Roman" w:cs="Times New Roman"/>
          <w:b/>
          <w:b/>
          <w:sz w:val="24"/>
          <w:szCs w:val="24"/>
        </w:rPr>
      </w:pPr>
      <w:r>
        <w:rPr>
          <w:rFonts w:cs="Times New Roman" w:ascii="Times New Roman" w:hAnsi="Times New Roman"/>
          <w:b/>
          <w:sz w:val="24"/>
          <w:szCs w:val="24"/>
        </w:rPr>
        <w:t>SPECYFIKACJA WARUNKÓW ZAMÓWIENIA</w:t>
      </w:r>
    </w:p>
    <w:p>
      <w:pPr>
        <w:pStyle w:val="Normal"/>
        <w:spacing w:lineRule="auto" w:line="240" w:before="0" w:after="0"/>
        <w:ind w:left="284" w:hanging="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284" w:hanging="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bCs/>
          <w:sz w:val="24"/>
          <w:szCs w:val="24"/>
          <w:shd w:fill="FFFFFF" w:val="clear"/>
        </w:rPr>
      </w:pPr>
      <w:r>
        <w:rPr>
          <w:rFonts w:cs="Times New Roman" w:ascii="Times New Roman" w:hAnsi="Times New Roman"/>
          <w:sz w:val="24"/>
          <w:szCs w:val="24"/>
        </w:rPr>
        <w:t xml:space="preserve">dot. postępowania o udzielenie zamówienia publicznego na: </w:t>
      </w:r>
      <w:r>
        <w:rPr>
          <w:rFonts w:cs="Times New Roman" w:ascii="Times New Roman" w:hAnsi="Times New Roman"/>
          <w:b/>
          <w:bCs/>
          <w:sz w:val="24"/>
          <w:szCs w:val="24"/>
        </w:rPr>
        <w:t xml:space="preserve">Sukcesywne dostawy przez okres 12 – miesięcy: </w:t>
      </w:r>
      <w:r>
        <w:rPr>
          <w:rFonts w:cs="Times New Roman" w:ascii="Times New Roman" w:hAnsi="Times New Roman"/>
          <w:b/>
          <w:bCs/>
          <w:sz w:val="24"/>
          <w:szCs w:val="24"/>
          <w:shd w:fill="FFFFFF" w:val="clear"/>
        </w:rPr>
        <w:t xml:space="preserve">pieluszek  dla dzieci (część 1), pieluchomajtek  dla dorosłych (część 2), podkładów ginekologicznych (część 3), wkładów anatomicznych (część 4), majtek chłonnych (część 5) oraz zestawów do usuwania staplerów (część 6). </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shd w:fill="FFFFFF" w:val="clear"/>
        </w:rPr>
        <w:t xml:space="preserve"> </w:t>
      </w:r>
    </w:p>
    <w:p>
      <w:pPr>
        <w:pStyle w:val="ListParagraph"/>
        <w:numPr>
          <w:ilvl w:val="0"/>
          <w:numId w:val="24"/>
        </w:numPr>
        <w:shd w:val="clear" w:color="auto" w:fill="FFFFFF"/>
        <w:spacing w:lineRule="auto" w:line="240" w:before="0" w:after="0"/>
        <w:ind w:left="284" w:hanging="284"/>
        <w:contextualSpacing/>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highlight w:val="lightGray"/>
          <w:lang w:eastAsia="pl-PL"/>
        </w:rPr>
        <w:t xml:space="preserve">Nazwa oraz adres zamawiającego, numer telefonu, adres poczty elektronicznej. </w:t>
        <w:b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Zespół Opieki Zdrowotnej w Końskich</w:t>
      </w:r>
    </w:p>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ul. Gimnazjalna 41 B</w:t>
      </w:r>
    </w:p>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26-200 Końskie</w:t>
      </w:r>
    </w:p>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adres strony internetowej:  http:  /zoz-konskie.bip.org.pl/</w:t>
      </w:r>
    </w:p>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adres poczty elektronicznej E-mail: marketing@zoz.konskie.pl  </w:t>
      </w:r>
    </w:p>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Telefon  (41) 39 02 314 fax (41) 39 02 319</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Godziny urzędowania 7: 25 do 15:00</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ind w:left="284" w:hanging="284"/>
        <w:contextualSpacing/>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Adres strony internetowej, na której udostępniane będą zmiany i wyjaśnienia treści SWZ oraz inne dokumenty zamówienia bezpośrednio związane z postępowaniem o udzielenie zamówienia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Postępowanie prowadzone jest przy użyciu </w:t>
      </w:r>
      <w:r>
        <w:rPr>
          <w:rStyle w:val="Czeinternetowe"/>
          <w:rFonts w:cs="Times New Roman" w:ascii="Times New Roman" w:hAnsi="Times New Roman"/>
          <w:color w:val="auto"/>
          <w:sz w:val="24"/>
          <w:szCs w:val="24"/>
          <w:u w:val="none"/>
        </w:rPr>
        <w:t xml:space="preserve">Platformy zakupowej </w:t>
        <w:br/>
        <w:t>https://</w:t>
      </w:r>
      <w:r>
        <w:rPr>
          <w:rFonts w:cs="Times New Roman" w:ascii="Times New Roman" w:hAnsi="Times New Roman"/>
          <w:sz w:val="24"/>
          <w:szCs w:val="24"/>
        </w:rPr>
        <w:t xml:space="preserve"> </w:t>
      </w:r>
      <w:r>
        <w:rPr>
          <w:rFonts w:cs="Times New Roman" w:ascii="Times New Roman" w:hAnsi="Times New Roman"/>
          <w:b/>
          <w:sz w:val="24"/>
          <w:szCs w:val="24"/>
        </w:rPr>
        <w:t>www.ezamowienia.gov.pl.</w:t>
      </w:r>
      <w:r>
        <w:rPr>
          <w:rFonts w:cs="Times New Roman" w:ascii="Times New Roman" w:hAnsi="Times New Roman"/>
          <w:sz w:val="24"/>
          <w:szCs w:val="24"/>
        </w:rPr>
        <w:t xml:space="preserve"> Ilekroć w niniejszej SWZ lub w przepisach </w:t>
        <w:br/>
        <w:t xml:space="preserve">o zamówieniach publicznych mowa jest o stronie internetowej prowadzonego postępowania należy przez to rozumieć także Platformę. </w:t>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Adres strony internetowej prowadzonego postępowania, na której udostępniane będą zmiany i wyjaśnienia treści SWZ oraz inne dokumenty zamówienia bezpośrednio związane z postępowaniem o udzielenie zamówienia: Strona: Portal Dostępowy  www.ezamowienia.gov.pl  i /zoz-konskie.bip.org.pl/</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Tryb udzielenia zamówienia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Postępowanie prowadzone jest zgodnie z przepisami ustawy z dnia 11 września 2019 roku Prawo zamówień publicznych (Dz. U. z 2022 r. poz. 1710 t.j. ze zm.), zwanej dalej również "ustawą Pzp", a także wydanych na jej podstawie aktów wykonawczych, </w:t>
        <w:br/>
        <w:t xml:space="preserve">w szczególności Rozporządzenia Ministra Rozwoju, Pracy i Technologii z dnia </w:t>
        <w:br/>
        <w:t xml:space="preserve">23 grudnia 2020 r. w sprawie podmiotowych środków dowodowych oraz innych dokumentów lub oświadczeń, jakich może żądać zamawiający od wykonawcy </w:t>
        <w:br/>
        <w:t>(Dz. U. z 2020 r. poz. 2415).</w:t>
      </w:r>
    </w:p>
    <w:p>
      <w:pPr>
        <w:pStyle w:val="ListParagraph"/>
        <w:numPr>
          <w:ilvl w:val="0"/>
          <w:numId w:val="2"/>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Postępowanie prowadzone jest w trybie podstawowym bez negocjacji o wartości mniejszej niż progi unijne.</w:t>
      </w:r>
    </w:p>
    <w:p>
      <w:pPr>
        <w:pStyle w:val="ListParagraph"/>
        <w:numPr>
          <w:ilvl w:val="0"/>
          <w:numId w:val="2"/>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Podstawa prawna wyboru trybu udzielenia zamówienia publicznego: art. 266, art. 275 ustawy Pzp.</w:t>
      </w:r>
    </w:p>
    <w:p>
      <w:pPr>
        <w:pStyle w:val="ListParagraph"/>
        <w:numPr>
          <w:ilvl w:val="0"/>
          <w:numId w:val="2"/>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W zakresie nieuregulowanym w niniejszej Specyfikacji Warunków Zamówienia (zwanej dalej "SWZ" lub "specyfikacją"), zastosowanie mają przepisy ustawy Pzp.</w:t>
      </w:r>
    </w:p>
    <w:p>
      <w:pPr>
        <w:pStyle w:val="ListParagraph"/>
        <w:spacing w:lineRule="auto" w:line="240" w:before="0" w:after="0"/>
        <w:ind w:left="284"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4"/>
        </w:numPr>
        <w:shd w:val="clear" w:color="auto" w:fill="FFFFFF"/>
        <w:spacing w:lineRule="auto" w:line="240" w:before="0" w:after="0"/>
        <w:ind w:left="284" w:hanging="284"/>
        <w:contextualSpacing/>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czy zamawiający przewiduje wybór najkorzystniejszej oferty z możliwością prowadzenia negocjacji</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przewiduje wyboru najkorzystniejszej oferty z możliwością prowadzenia negocjacji.</w:t>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ListParagraph"/>
        <w:numPr>
          <w:ilvl w:val="0"/>
          <w:numId w:val="24"/>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Opis przedmiotu zamówienia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ListParagraph"/>
        <w:numPr>
          <w:ilvl w:val="0"/>
          <w:numId w:val="1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Przedmiot zamówienia: </w:t>
      </w:r>
    </w:p>
    <w:p>
      <w:pPr>
        <w:pStyle w:val="ListParagraph"/>
        <w:spacing w:lineRule="auto" w:line="240" w:before="0" w:after="0"/>
        <w:contextualSpacing/>
        <w:jc w:val="both"/>
        <w:rPr>
          <w:rFonts w:ascii="Times New Roman" w:hAnsi="Times New Roman" w:cs="Times New Roman"/>
          <w:b/>
          <w:b/>
          <w:bCs/>
          <w:sz w:val="24"/>
          <w:szCs w:val="24"/>
          <w:shd w:fill="FFFFFF" w:val="clear"/>
        </w:rPr>
      </w:pPr>
      <w:r>
        <w:rPr>
          <w:rFonts w:cs="Times New Roman" w:ascii="Times New Roman" w:hAnsi="Times New Roman"/>
          <w:b/>
          <w:bCs/>
          <w:sz w:val="24"/>
          <w:szCs w:val="24"/>
        </w:rPr>
        <w:t xml:space="preserve">Sukcesywne dostawy przez okres 12 – miesięcy: </w:t>
      </w:r>
      <w:r>
        <w:rPr>
          <w:rFonts w:cs="Times New Roman" w:ascii="Times New Roman" w:hAnsi="Times New Roman"/>
          <w:b/>
          <w:bCs/>
          <w:sz w:val="24"/>
          <w:szCs w:val="24"/>
          <w:shd w:fill="FFFFFF" w:val="clear"/>
        </w:rPr>
        <w:t xml:space="preserve">pieluszek  dla dzieci (część 1), pieluchomajtek  dla dorosłych (część 2), podkładów ginekologicznych (część 3), wkładów anatomicznych (część 4), majtek chłonnych (część 5) oraz zestawów </w:t>
        <w:br/>
        <w:t xml:space="preserve">do usuwania staplerów (część 6). </w:t>
      </w:r>
    </w:p>
    <w:p>
      <w:pPr>
        <w:pStyle w:val="ListParagraph"/>
        <w:spacing w:lineRule="auto" w:line="240" w:before="0" w:after="0"/>
        <w:contextualSpacing/>
        <w:jc w:val="both"/>
        <w:rPr>
          <w:rFonts w:ascii="Times New Roman" w:hAnsi="Times New Roman" w:cs="Times New Roman"/>
          <w:b/>
          <w:b/>
          <w:bCs/>
          <w:sz w:val="24"/>
          <w:szCs w:val="24"/>
          <w:shd w:fill="FFFFFF" w:val="clear"/>
        </w:rPr>
      </w:pPr>
      <w:r>
        <w:rPr>
          <w:rFonts w:cs="Times New Roman" w:ascii="Times New Roman" w:hAnsi="Times New Roman"/>
          <w:b/>
          <w:bCs/>
          <w:sz w:val="24"/>
          <w:szCs w:val="24"/>
          <w:shd w:fill="FFFFFF" w:val="clea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Kody Wspólnego Słownika Zamówień: </w:t>
      </w:r>
    </w:p>
    <w:p>
      <w:pPr>
        <w:pStyle w:val="Normal"/>
        <w:spacing w:lineRule="auto" w:line="240" w:before="0" w:after="0"/>
        <w:ind w:left="3540" w:hanging="0"/>
        <w:jc w:val="both"/>
        <w:rPr>
          <w:rFonts w:ascii="Times New Roman" w:hAnsi="Times New Roman" w:cs="Times New Roman"/>
          <w:b/>
          <w:b/>
          <w:bCs/>
          <w:sz w:val="24"/>
          <w:szCs w:val="24"/>
          <w:shd w:fill="FFFFFF" w:val="clear"/>
        </w:rPr>
      </w:pPr>
      <w:r>
        <w:rPr>
          <w:rFonts w:cs="Times New Roman" w:ascii="Times New Roman" w:hAnsi="Times New Roman"/>
          <w:b/>
          <w:bCs/>
          <w:sz w:val="24"/>
          <w:szCs w:val="24"/>
        </w:rPr>
        <w:t>CPV: 33700000-8 Artykuły higieniczne z papieru</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bCs/>
          <w:sz w:val="24"/>
          <w:szCs w:val="24"/>
        </w:rPr>
        <w:t xml:space="preserve">33771200-7 Pieluszki dla niemowląt </w:t>
      </w:r>
    </w:p>
    <w:p>
      <w:pPr>
        <w:pStyle w:val="Normal"/>
        <w:spacing w:lineRule="auto" w:line="240" w:before="0" w:after="0"/>
        <w:ind w:left="720" w:hanging="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33771100-6 Podpaski lub tampony , </w:t>
      </w:r>
    </w:p>
    <w:p>
      <w:pPr>
        <w:pStyle w:val="Normal"/>
        <w:spacing w:lineRule="auto" w:line="240" w:before="0" w:after="0"/>
        <w:ind w:left="720" w:hanging="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33196000-0 Pomoce medyczne</w:t>
      </w:r>
    </w:p>
    <w:p>
      <w:pPr>
        <w:pStyle w:val="Normal"/>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ListParagraph"/>
        <w:numPr>
          <w:ilvl w:val="0"/>
          <w:numId w:val="24"/>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Opis części zamówienia, jeżeli zamawiający dopuszcza składanie ofert częściowych</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dopuszcza możliwości składania ofert częściowych, z podziałem </w:t>
        <w:br/>
      </w:r>
      <w:r>
        <w:rPr>
          <w:rFonts w:cs="Times New Roman" w:ascii="Times New Roman" w:hAnsi="Times New Roman"/>
          <w:b/>
          <w:bCs/>
          <w:sz w:val="24"/>
          <w:szCs w:val="24"/>
        </w:rPr>
        <w:t>na części od 1 do części 6.</w:t>
      </w:r>
      <w:r>
        <w:rPr>
          <w:rFonts w:cs="Times New Roman" w:ascii="Times New Roman" w:hAnsi="Times New Roman"/>
          <w:sz w:val="24"/>
          <w:szCs w:val="24"/>
        </w:rPr>
        <w:t xml:space="preserve"> </w:t>
      </w:r>
    </w:p>
    <w:p>
      <w:pPr>
        <w:pStyle w:val="ListParagraph"/>
        <w:numPr>
          <w:ilvl w:val="0"/>
          <w:numId w:val="1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Przedmiot zamówienia w zakresie </w:t>
      </w:r>
      <w:r>
        <w:rPr>
          <w:rFonts w:cs="Times New Roman" w:ascii="Times New Roman" w:hAnsi="Times New Roman"/>
          <w:b/>
          <w:bCs/>
          <w:sz w:val="24"/>
          <w:szCs w:val="24"/>
        </w:rPr>
        <w:t>części</w:t>
      </w:r>
      <w:r>
        <w:rPr>
          <w:rFonts w:cs="Times New Roman" w:ascii="Times New Roman" w:hAnsi="Times New Roman"/>
          <w:sz w:val="24"/>
          <w:szCs w:val="24"/>
        </w:rPr>
        <w:t xml:space="preserve"> </w:t>
      </w:r>
      <w:r>
        <w:rPr>
          <w:rFonts w:cs="Times New Roman" w:ascii="Times New Roman" w:hAnsi="Times New Roman"/>
          <w:b/>
          <w:bCs/>
          <w:sz w:val="24"/>
          <w:szCs w:val="24"/>
        </w:rPr>
        <w:t>1:</w:t>
      </w:r>
      <w:r>
        <w:rPr>
          <w:rFonts w:cs="Times New Roman" w:ascii="Times New Roman" w:hAnsi="Times New Roman"/>
          <w:sz w:val="24"/>
          <w:szCs w:val="24"/>
        </w:rPr>
        <w:t xml:space="preserve"> dotyczy </w:t>
      </w:r>
      <w:r>
        <w:rPr>
          <w:rFonts w:cs="Times New Roman" w:ascii="Times New Roman" w:hAnsi="Times New Roman"/>
          <w:b/>
          <w:bCs/>
          <w:sz w:val="24"/>
          <w:szCs w:val="24"/>
          <w:shd w:fill="FFFFFF" w:val="clear"/>
        </w:rPr>
        <w:t>pieluszek  dla dzieci</w:t>
      </w:r>
      <w:r>
        <w:rPr>
          <w:rFonts w:cs="Times New Roman" w:ascii="Times New Roman" w:hAnsi="Times New Roman"/>
          <w:b/>
          <w:bCs/>
          <w:sz w:val="24"/>
          <w:szCs w:val="24"/>
        </w:rPr>
        <w:t xml:space="preserve"> (pozycje 1 - 2)</w:t>
      </w:r>
      <w:r>
        <w:rPr>
          <w:rFonts w:cs="Times New Roman" w:ascii="Times New Roman" w:hAnsi="Times New Roman"/>
          <w:sz w:val="24"/>
          <w:szCs w:val="24"/>
        </w:rPr>
        <w:t xml:space="preserve"> wg wymagań uszczegółowionych w  zał.  2 do SWZ - cześć 1  </w:t>
      </w:r>
    </w:p>
    <w:p>
      <w:pPr>
        <w:pStyle w:val="ListParagraph"/>
        <w:numPr>
          <w:ilvl w:val="0"/>
          <w:numId w:val="1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Przedmiot zamówienia w zakresie </w:t>
      </w:r>
      <w:r>
        <w:rPr>
          <w:rFonts w:cs="Times New Roman" w:ascii="Times New Roman" w:hAnsi="Times New Roman"/>
          <w:b/>
          <w:bCs/>
          <w:sz w:val="24"/>
          <w:szCs w:val="24"/>
        </w:rPr>
        <w:t>części</w:t>
      </w:r>
      <w:r>
        <w:rPr>
          <w:rFonts w:cs="Times New Roman" w:ascii="Times New Roman" w:hAnsi="Times New Roman"/>
          <w:sz w:val="24"/>
          <w:szCs w:val="24"/>
        </w:rPr>
        <w:t xml:space="preserve"> </w:t>
      </w:r>
      <w:r>
        <w:rPr>
          <w:rFonts w:cs="Times New Roman" w:ascii="Times New Roman" w:hAnsi="Times New Roman"/>
          <w:b/>
          <w:bCs/>
          <w:sz w:val="24"/>
          <w:szCs w:val="24"/>
        </w:rPr>
        <w:t xml:space="preserve">2: </w:t>
      </w:r>
      <w:r>
        <w:rPr>
          <w:rFonts w:cs="Times New Roman" w:ascii="Times New Roman" w:hAnsi="Times New Roman"/>
          <w:sz w:val="24"/>
          <w:szCs w:val="24"/>
        </w:rPr>
        <w:t xml:space="preserve">dotyczy </w:t>
      </w:r>
      <w:r>
        <w:rPr>
          <w:rFonts w:cs="Times New Roman" w:ascii="Times New Roman" w:hAnsi="Times New Roman"/>
          <w:b/>
          <w:bCs/>
          <w:sz w:val="24"/>
          <w:szCs w:val="24"/>
        </w:rPr>
        <w:t xml:space="preserve">pieluchomajtek dla  dorosłych (pozycje 1 - 4) </w:t>
      </w:r>
      <w:r>
        <w:rPr>
          <w:rFonts w:cs="Times New Roman" w:ascii="Times New Roman" w:hAnsi="Times New Roman"/>
          <w:sz w:val="24"/>
          <w:szCs w:val="24"/>
        </w:rPr>
        <w:t xml:space="preserve">wg wymagań  uszczegółowionych w zał. 2 do SWZ - cześć 2 </w:t>
      </w:r>
    </w:p>
    <w:p>
      <w:pPr>
        <w:pStyle w:val="ListParagraph"/>
        <w:numPr>
          <w:ilvl w:val="0"/>
          <w:numId w:val="1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Przedmiot zamówienia w zakresie </w:t>
      </w:r>
      <w:r>
        <w:rPr>
          <w:rFonts w:cs="Times New Roman" w:ascii="Times New Roman" w:hAnsi="Times New Roman"/>
          <w:b/>
          <w:bCs/>
          <w:sz w:val="24"/>
          <w:szCs w:val="24"/>
        </w:rPr>
        <w:t>części</w:t>
      </w:r>
      <w:r>
        <w:rPr>
          <w:rFonts w:cs="Times New Roman" w:ascii="Times New Roman" w:hAnsi="Times New Roman"/>
          <w:sz w:val="24"/>
          <w:szCs w:val="24"/>
        </w:rPr>
        <w:t xml:space="preserve"> </w:t>
      </w:r>
      <w:r>
        <w:rPr>
          <w:rFonts w:cs="Times New Roman" w:ascii="Times New Roman" w:hAnsi="Times New Roman"/>
          <w:b/>
          <w:bCs/>
          <w:sz w:val="24"/>
          <w:szCs w:val="24"/>
        </w:rPr>
        <w:t xml:space="preserve">3: </w:t>
      </w:r>
      <w:r>
        <w:rPr>
          <w:rFonts w:cs="Times New Roman" w:ascii="Times New Roman" w:hAnsi="Times New Roman"/>
          <w:sz w:val="24"/>
          <w:szCs w:val="24"/>
        </w:rPr>
        <w:t xml:space="preserve">dotyczy </w:t>
      </w:r>
      <w:r>
        <w:rPr>
          <w:rFonts w:cs="Times New Roman" w:ascii="Times New Roman" w:hAnsi="Times New Roman"/>
          <w:b/>
          <w:bCs/>
          <w:sz w:val="24"/>
          <w:szCs w:val="24"/>
        </w:rPr>
        <w:t>jednorazowych podkładów ginekologicznych (pozycja 1)</w:t>
      </w:r>
      <w:r>
        <w:rPr>
          <w:rFonts w:cs="Times New Roman" w:ascii="Times New Roman" w:hAnsi="Times New Roman"/>
          <w:sz w:val="24"/>
          <w:szCs w:val="24"/>
        </w:rPr>
        <w:t xml:space="preserve"> wg wymagań  uszczegółowionych w zał. 2 do SWZ-cześć 3</w:t>
      </w:r>
    </w:p>
    <w:p>
      <w:pPr>
        <w:pStyle w:val="ListParagraph"/>
        <w:numPr>
          <w:ilvl w:val="0"/>
          <w:numId w:val="1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Przedmiot zamówienia w zakresie </w:t>
      </w:r>
      <w:r>
        <w:rPr>
          <w:rFonts w:cs="Times New Roman" w:ascii="Times New Roman" w:hAnsi="Times New Roman"/>
          <w:b/>
          <w:bCs/>
          <w:sz w:val="24"/>
          <w:szCs w:val="24"/>
        </w:rPr>
        <w:t>części</w:t>
      </w:r>
      <w:r>
        <w:rPr>
          <w:rFonts w:cs="Times New Roman" w:ascii="Times New Roman" w:hAnsi="Times New Roman"/>
          <w:sz w:val="24"/>
          <w:szCs w:val="24"/>
        </w:rPr>
        <w:t xml:space="preserve"> </w:t>
      </w:r>
      <w:r>
        <w:rPr>
          <w:rFonts w:cs="Times New Roman" w:ascii="Times New Roman" w:hAnsi="Times New Roman"/>
          <w:b/>
          <w:bCs/>
          <w:sz w:val="24"/>
          <w:szCs w:val="24"/>
        </w:rPr>
        <w:t xml:space="preserve">4: </w:t>
      </w:r>
      <w:r>
        <w:rPr>
          <w:rFonts w:cs="Times New Roman" w:ascii="Times New Roman" w:hAnsi="Times New Roman"/>
          <w:sz w:val="24"/>
          <w:szCs w:val="24"/>
        </w:rPr>
        <w:t xml:space="preserve">dotyczy </w:t>
      </w:r>
      <w:r>
        <w:rPr>
          <w:rFonts w:cs="Times New Roman" w:ascii="Times New Roman" w:hAnsi="Times New Roman"/>
          <w:b/>
          <w:bCs/>
          <w:sz w:val="24"/>
          <w:szCs w:val="24"/>
        </w:rPr>
        <w:t xml:space="preserve">wkładów anatomicznych (pozycja 1) </w:t>
      </w:r>
      <w:r>
        <w:rPr>
          <w:rFonts w:cs="Times New Roman" w:ascii="Times New Roman" w:hAnsi="Times New Roman"/>
          <w:sz w:val="24"/>
          <w:szCs w:val="24"/>
        </w:rPr>
        <w:t xml:space="preserve">wg wymagań  uszczegółowionych w zał. 2 do SWZ - cześć 4 </w:t>
      </w:r>
    </w:p>
    <w:p>
      <w:pPr>
        <w:pStyle w:val="ListParagraph"/>
        <w:numPr>
          <w:ilvl w:val="0"/>
          <w:numId w:val="1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Przedmiot zamówienia w zakresie </w:t>
      </w:r>
      <w:r>
        <w:rPr>
          <w:rFonts w:cs="Times New Roman" w:ascii="Times New Roman" w:hAnsi="Times New Roman"/>
          <w:b/>
          <w:bCs/>
          <w:sz w:val="24"/>
          <w:szCs w:val="24"/>
        </w:rPr>
        <w:t>części</w:t>
      </w:r>
      <w:r>
        <w:rPr>
          <w:rFonts w:cs="Times New Roman" w:ascii="Times New Roman" w:hAnsi="Times New Roman"/>
          <w:sz w:val="24"/>
          <w:szCs w:val="24"/>
        </w:rPr>
        <w:t xml:space="preserve"> </w:t>
      </w:r>
      <w:r>
        <w:rPr>
          <w:rFonts w:cs="Times New Roman" w:ascii="Times New Roman" w:hAnsi="Times New Roman"/>
          <w:b/>
          <w:bCs/>
          <w:sz w:val="24"/>
          <w:szCs w:val="24"/>
        </w:rPr>
        <w:t xml:space="preserve">5: </w:t>
      </w:r>
      <w:r>
        <w:rPr>
          <w:rFonts w:cs="Times New Roman" w:ascii="Times New Roman" w:hAnsi="Times New Roman"/>
          <w:sz w:val="24"/>
          <w:szCs w:val="24"/>
        </w:rPr>
        <w:t xml:space="preserve">dotyczy </w:t>
      </w:r>
      <w:r>
        <w:rPr>
          <w:rFonts w:cs="Times New Roman" w:ascii="Times New Roman" w:hAnsi="Times New Roman"/>
          <w:b/>
          <w:bCs/>
          <w:sz w:val="24"/>
          <w:szCs w:val="24"/>
        </w:rPr>
        <w:t xml:space="preserve">majtek chłonnych (pozycja 1) </w:t>
        <w:br/>
      </w:r>
      <w:r>
        <w:rPr>
          <w:rFonts w:cs="Times New Roman" w:ascii="Times New Roman" w:hAnsi="Times New Roman"/>
          <w:sz w:val="24"/>
          <w:szCs w:val="24"/>
        </w:rPr>
        <w:t xml:space="preserve">wg wymagań  uszczegółowionych w zał. 2 do SWZ - </w:t>
      </w:r>
      <w:r>
        <w:rPr>
          <w:rFonts w:cs="Times New Roman" w:ascii="Times New Roman" w:hAnsi="Times New Roman"/>
          <w:bCs/>
          <w:sz w:val="24"/>
          <w:szCs w:val="24"/>
        </w:rPr>
        <w:t>cześć 5</w:t>
      </w:r>
    </w:p>
    <w:p>
      <w:pPr>
        <w:pStyle w:val="ListParagraph"/>
        <w:numPr>
          <w:ilvl w:val="0"/>
          <w:numId w:val="1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bCs/>
          <w:sz w:val="24"/>
          <w:szCs w:val="24"/>
        </w:rPr>
        <w:t>Przedmiot zamówienia w zakresie</w:t>
      </w:r>
      <w:r>
        <w:rPr>
          <w:rFonts w:cs="Times New Roman" w:ascii="Times New Roman" w:hAnsi="Times New Roman"/>
          <w:b/>
          <w:sz w:val="24"/>
          <w:szCs w:val="24"/>
        </w:rPr>
        <w:t xml:space="preserve"> </w:t>
      </w:r>
      <w:r>
        <w:rPr>
          <w:rFonts w:cs="Times New Roman" w:ascii="Times New Roman" w:hAnsi="Times New Roman"/>
          <w:b/>
          <w:bCs/>
          <w:sz w:val="24"/>
          <w:szCs w:val="24"/>
        </w:rPr>
        <w:t>części</w:t>
      </w:r>
      <w:r>
        <w:rPr>
          <w:rFonts w:cs="Times New Roman" w:ascii="Times New Roman" w:hAnsi="Times New Roman"/>
          <w:b/>
          <w:sz w:val="24"/>
          <w:szCs w:val="24"/>
        </w:rPr>
        <w:t xml:space="preserve"> 6</w:t>
      </w:r>
      <w:r>
        <w:rPr>
          <w:rFonts w:cs="Times New Roman" w:ascii="Times New Roman" w:hAnsi="Times New Roman"/>
          <w:b/>
          <w:bCs/>
          <w:sz w:val="24"/>
          <w:szCs w:val="24"/>
        </w:rPr>
        <w:t xml:space="preserve">: </w:t>
      </w:r>
      <w:r>
        <w:rPr>
          <w:rFonts w:cs="Times New Roman" w:ascii="Times New Roman" w:hAnsi="Times New Roman"/>
          <w:sz w:val="24"/>
          <w:szCs w:val="24"/>
        </w:rPr>
        <w:t xml:space="preserve">dotyczy </w:t>
      </w:r>
      <w:r>
        <w:rPr>
          <w:rFonts w:cs="Times New Roman" w:ascii="Times New Roman" w:hAnsi="Times New Roman"/>
          <w:b/>
          <w:bCs/>
          <w:sz w:val="24"/>
          <w:szCs w:val="24"/>
        </w:rPr>
        <w:t>sterylnych zestawów do usuwania staplerów  (pozycja 1)</w:t>
      </w:r>
      <w:r>
        <w:rPr>
          <w:rFonts w:cs="Times New Roman" w:ascii="Times New Roman" w:hAnsi="Times New Roman"/>
          <w:b/>
          <w:sz w:val="24"/>
          <w:szCs w:val="24"/>
        </w:rPr>
        <w:t xml:space="preserve">  </w:t>
      </w:r>
      <w:r>
        <w:rPr>
          <w:rFonts w:cs="Times New Roman" w:ascii="Times New Roman" w:hAnsi="Times New Roman"/>
          <w:sz w:val="24"/>
          <w:szCs w:val="24"/>
        </w:rPr>
        <w:t>wg wymagań  uszczegółowionych w zał. 2 do SWZ</w:t>
      </w:r>
      <w:r>
        <w:rPr>
          <w:rFonts w:cs="Times New Roman" w:ascii="Times New Roman" w:hAnsi="Times New Roman"/>
          <w:b/>
          <w:sz w:val="24"/>
          <w:szCs w:val="24"/>
        </w:rPr>
        <w:t xml:space="preserve"> - </w:t>
      </w:r>
      <w:r>
        <w:rPr>
          <w:rFonts w:cs="Times New Roman" w:ascii="Times New Roman" w:hAnsi="Times New Roman"/>
          <w:bCs/>
          <w:sz w:val="24"/>
          <w:szCs w:val="24"/>
        </w:rPr>
        <w:t>cześć 6</w:t>
      </w:r>
    </w:p>
    <w:p>
      <w:pPr>
        <w:pStyle w:val="ListParagraph"/>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Liczba części zamówienia, na którą wykonawca może złożyć ofertę, </w:t>
        <w:br/>
        <w:t xml:space="preserve">lub maksymalną liczbę części, na które zamówienie może zostać udzielone temu samemu wykonawcy, oraz kryteria lub zasady, mające zastosowanie </w:t>
        <w:br/>
        <w:t xml:space="preserve">do ustalenia, które części zamówienia zostaną udzielone jednemu wykonawcy, </w:t>
        <w:br/>
        <w:t>w przypadku wyboru jego oferty w większej niż maksymalna liczbie części</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Wykonawca może złożyć ofertę w odniesieniu do wszystkich części zamówienia. Zamawiający nie ogranicza liczby części zamówienia, na które Wykonawca może złożyć ofertę oraz nie określa maksymalnej liczby części zamówienia, na które może zostać udzielone zamówienie jednemu Wykonawcy.</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Termin wykonania zamówienia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 xml:space="preserve">Wymagany termin wykonania zamówienia: sukcesywnie, wg potrzeb Zamawiającego przez okres - </w:t>
      </w:r>
      <w:r>
        <w:rPr>
          <w:rFonts w:cs="Times New Roman" w:ascii="Times New Roman" w:hAnsi="Times New Roman"/>
          <w:b/>
          <w:bCs/>
          <w:sz w:val="24"/>
          <w:szCs w:val="24"/>
        </w:rPr>
        <w:t xml:space="preserve">12 </w:t>
      </w:r>
      <w:r>
        <w:rPr>
          <w:rFonts w:cs="Times New Roman" w:ascii="Times New Roman" w:hAnsi="Times New Roman"/>
          <w:b/>
          <w:sz w:val="24"/>
          <w:szCs w:val="24"/>
        </w:rPr>
        <w:t>miesięcy od daty zawarcia  umowy.</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4"/>
        </w:numPr>
        <w:shd w:val="clear" w:color="auto" w:fill="FFFFFF"/>
        <w:tabs>
          <w:tab w:val="clear" w:pos="708"/>
          <w:tab w:val="left" w:pos="567" w:leader="none"/>
        </w:tabs>
        <w:spacing w:lineRule="auto" w:line="240" w:before="0" w:after="0"/>
        <w:ind w:left="284" w:hanging="284"/>
        <w:contextualSpacing/>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Projektowane postanowienia umowy w sprawie zamówienia publicznego, które zostaną wprowadzone do treści tej umowy</w:t>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Projektowane postanowienia umowy   zostały określone w załączniku nr 4 do SWZ</w:t>
      </w:r>
    </w:p>
    <w:p>
      <w:pPr>
        <w:pStyle w:val="Normal"/>
        <w:shd w:val="clear" w:color="auto" w:fill="FFFFFF"/>
        <w:spacing w:lineRule="auto" w:line="240" w:before="0" w:after="0"/>
        <w:ind w:left="284" w:hanging="284"/>
        <w:jc w:val="both"/>
        <w:rPr>
          <w:rFonts w:ascii="Times New Roman" w:hAnsi="Times New Roman" w:eastAsia="Times New Roman" w:cs="Times New Roman"/>
          <w:b/>
          <w:b/>
          <w:sz w:val="24"/>
          <w:szCs w:val="24"/>
          <w:lang w:eastAsia="pl-PL"/>
        </w:rPr>
      </w:pPr>
      <w:r>
        <w:rPr>
          <w:rFonts w:eastAsia="Times New Roman" w:cs="Times New Roman" w:ascii="Times New Roman" w:hAnsi="Times New Roman"/>
          <w:sz w:val="24"/>
          <w:szCs w:val="24"/>
          <w:lang w:eastAsia="pl-PL"/>
        </w:rPr>
        <w:t xml:space="preserve">         „ </w:t>
      </w:r>
      <w:r>
        <w:rPr>
          <w:rFonts w:cs="Times New Roman" w:ascii="Times New Roman" w:hAnsi="Times New Roman"/>
          <w:b/>
          <w:sz w:val="24"/>
          <w:szCs w:val="24"/>
        </w:rPr>
        <w:t>Istotne postanowienia warunków umowy”.</w:t>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ListParagraph"/>
        <w:numPr>
          <w:ilvl w:val="0"/>
          <w:numId w:val="24"/>
        </w:numPr>
        <w:shd w:val="clear" w:color="auto" w:fill="FFFFFF"/>
        <w:spacing w:lineRule="auto" w:line="240" w:before="0" w:after="0"/>
        <w:ind w:left="284" w:hanging="284"/>
        <w:contextualSpacing/>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Komunikacja pomiędzy Zamawiającym a Wykonawcami (składanie oświadczeń, dokumentów, zawiadomień oraz przekazywanie informacji) odbywa się elektronicznie </w:t>
        <w:br/>
        <w:t xml:space="preserve">za pośrednictwem dedykowanego formularza, dostępnego w ramach Platformy </w:t>
        <w:br/>
        <w:t>do przeprowadzania postępowań.</w:t>
      </w:r>
    </w:p>
    <w:p>
      <w:pPr>
        <w:pStyle w:val="ListParagraph"/>
        <w:numPr>
          <w:ilvl w:val="0"/>
          <w:numId w:val="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We wszelkiej korespondencji związanej z niniejszym postępowaniem Zamawiający </w:t>
        <w:br/>
        <w:t xml:space="preserve">i Wykonawcy posługują się </w:t>
      </w:r>
      <w:r>
        <w:rPr>
          <w:rFonts w:cs="Times New Roman" w:ascii="Times New Roman" w:hAnsi="Times New Roman"/>
          <w:b/>
          <w:sz w:val="24"/>
          <w:szCs w:val="24"/>
        </w:rPr>
        <w:t>numerem ogłoszenia w</w:t>
      </w:r>
      <w:r>
        <w:rPr>
          <w:rFonts w:cs="Times New Roman" w:ascii="Times New Roman" w:hAnsi="Times New Roman"/>
          <w:sz w:val="24"/>
          <w:szCs w:val="24"/>
        </w:rPr>
        <w:t xml:space="preserve"> </w:t>
      </w:r>
      <w:r>
        <w:rPr>
          <w:rFonts w:cs="Times New Roman" w:ascii="Times New Roman" w:hAnsi="Times New Roman"/>
          <w:b/>
          <w:sz w:val="24"/>
          <w:szCs w:val="24"/>
        </w:rPr>
        <w:t>BZP lub Identyfikatorem Postępowania</w:t>
      </w:r>
      <w:r>
        <w:rPr>
          <w:rFonts w:cs="Times New Roman" w:ascii="Times New Roman" w:hAnsi="Times New Roman"/>
          <w:sz w:val="24"/>
          <w:szCs w:val="24"/>
        </w:rPr>
        <w:t xml:space="preserve">. </w:t>
      </w:r>
    </w:p>
    <w:p>
      <w:pPr>
        <w:pStyle w:val="ListParagraph"/>
        <w:numPr>
          <w:ilvl w:val="0"/>
          <w:numId w:val="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Dokumenty elektroniczne, oświadczenia lub elektroniczne kopie dokumentów </w:t>
        <w:br/>
        <w:t xml:space="preserve">lub oświadczeń  składane są przez Wykonawcę za  pośrednictwem Formularza </w:t>
        <w:br/>
        <w:t xml:space="preserve">do komunikacji jako załączniki. </w:t>
      </w:r>
    </w:p>
    <w:p>
      <w:pPr>
        <w:pStyle w:val="ListParagraph"/>
        <w:numPr>
          <w:ilvl w:val="0"/>
          <w:numId w:val="6"/>
        </w:numPr>
        <w:shd w:val="clear" w:color="auto" w:fill="FFFFFF"/>
        <w:spacing w:lineRule="auto" w:line="240" w:before="150" w:after="0"/>
        <w:ind w:left="284" w:hanging="284"/>
        <w:contextualSpacing/>
        <w:jc w:val="both"/>
        <w:outlineLvl w:val="0"/>
        <w:rPr>
          <w:rFonts w:ascii="Times New Roman" w:hAnsi="Times New Roman" w:cs="Times New Roman"/>
          <w:sz w:val="24"/>
          <w:szCs w:val="24"/>
        </w:rPr>
      </w:pPr>
      <w:r>
        <w:rPr>
          <w:rFonts w:cs="Times New Roman" w:ascii="Times New Roman" w:hAnsi="Times New Roman"/>
          <w:sz w:val="24"/>
          <w:szCs w:val="24"/>
        </w:rPr>
        <w:t xml:space="preserve">Sposób sporządzenia dokumentów elektronicznych, oświadczeń lub elektronicznych kopii dokumentów lub oświadczeń musi być zgody z wymaganiami określonymi </w:t>
        <w:br/>
        <w:t>w rozporządzeniu Prezesa Rady Ministrów z dnia 30 grudnia 2020 r. w sprawie s</w:t>
      </w:r>
      <w:r>
        <w:rPr>
          <w:rFonts w:eastAsia="Times New Roman" w:cs="Times New Roman" w:ascii="Times New Roman" w:hAnsi="Times New Roman"/>
          <w:kern w:val="2"/>
          <w:sz w:val="24"/>
          <w:szCs w:val="24"/>
          <w:lang w:eastAsia="pl-PL"/>
        </w:rPr>
        <w:t xml:space="preserve">posobu sporządzania i przekazywania informacji oraz wymagań technicznych dla dokumentów elektronicznych oraz środków komunikacji elektronicznej w postępowaniu o udzielenie zamówienia publicznego lub konkursie </w:t>
      </w:r>
      <w:hyperlink r:id="rId2">
        <w:r>
          <w:rPr>
            <w:rFonts w:eastAsia="Times New Roman" w:cs="Times New Roman" w:ascii="Times New Roman" w:hAnsi="Times New Roman"/>
            <w:sz w:val="24"/>
            <w:szCs w:val="24"/>
            <w:lang w:eastAsia="pl-PL"/>
          </w:rPr>
          <w:t>(Dz.U. z 2020 r. poz. 2452)</w:t>
        </w:r>
      </w:hyperlink>
      <w:r>
        <w:rPr>
          <w:rFonts w:eastAsia="Times New Roman" w:cs="Times New Roman" w:ascii="Times New Roman" w:hAnsi="Times New Roman"/>
          <w:sz w:val="24"/>
          <w:szCs w:val="24"/>
          <w:lang w:eastAsia="pl-PL"/>
        </w:rPr>
        <w:t xml:space="preserve">. </w:t>
      </w:r>
    </w:p>
    <w:p>
      <w:pPr>
        <w:pStyle w:val="ListParagraph"/>
        <w:numPr>
          <w:ilvl w:val="0"/>
          <w:numId w:val="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b/>
          <w:sz w:val="24"/>
          <w:szCs w:val="24"/>
        </w:rPr>
        <w:t>Forma</w:t>
      </w:r>
      <w:r>
        <w:rPr>
          <w:rFonts w:cs="Times New Roman" w:ascii="Times New Roman" w:hAnsi="Times New Roman"/>
          <w:sz w:val="24"/>
          <w:szCs w:val="24"/>
        </w:rPr>
        <w:t xml:space="preserve"> </w:t>
      </w:r>
      <w:r>
        <w:rPr>
          <w:rFonts w:cs="Times New Roman" w:ascii="Times New Roman" w:hAnsi="Times New Roman"/>
          <w:b/>
          <w:sz w:val="24"/>
          <w:szCs w:val="24"/>
        </w:rPr>
        <w:t>złożenia oferty - zgodnie z pkt XV niniejszej SWZ.</w:t>
      </w:r>
    </w:p>
    <w:p>
      <w:pPr>
        <w:pStyle w:val="ListParagraph"/>
        <w:numPr>
          <w:ilvl w:val="0"/>
          <w:numId w:val="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dopuszcza również możliwość komunikacji z Wykonawcami za pomocą poczty elektronicznej, (adres zamawiającego podany w pkt I niniejszej Specyfikacji), </w:t>
        <w:br/>
        <w:t xml:space="preserve">w tym również możliwość składania dokumentów elektronicznych, oświadczeń </w:t>
        <w:br/>
        <w:t>lub elektronicznych kopii dokumentów lub oświadczeń za pomocą poczty elektronicznej.</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
          <w:i/>
          <w:i/>
          <w:sz w:val="24"/>
          <w:szCs w:val="24"/>
          <w:lang w:eastAsia="pl-PL"/>
        </w:rPr>
      </w:pPr>
      <w:r>
        <w:rPr>
          <w:rFonts w:eastAsia="Times New Roman" w:cs="Times New Roman" w:ascii="Times New Roman" w:hAnsi="Times New Roman"/>
          <w:b/>
          <w:bCs/>
          <w:sz w:val="24"/>
          <w:szCs w:val="24"/>
          <w:highlight w:val="lightGray"/>
          <w:lang w:eastAsia="pl-PL"/>
        </w:rPr>
        <w:t>XI. Informacja o sposobie komunikowania się zamawiającego z wykonawcami w inny sposób niż przy użyciu środków komunikacji elektronicznej w przypadku zaistnienia jednej z sytuacji określonych w </w:t>
      </w:r>
      <w:hyperlink r:id="rId3">
        <w:r>
          <w:rPr>
            <w:rFonts w:eastAsia="Times New Roman" w:cs="Times New Roman" w:ascii="Times New Roman" w:hAnsi="Times New Roman"/>
            <w:b/>
            <w:bCs/>
            <w:sz w:val="24"/>
            <w:szCs w:val="24"/>
            <w:highlight w:val="lightGray"/>
            <w:lang w:eastAsia="pl-PL"/>
          </w:rPr>
          <w:t>art. 65 ust. 1</w:t>
        </w:r>
      </w:hyperlink>
      <w:r>
        <w:rPr>
          <w:rFonts w:eastAsia="Times New Roman" w:cs="Times New Roman" w:ascii="Times New Roman" w:hAnsi="Times New Roman"/>
          <w:b/>
          <w:bCs/>
          <w:sz w:val="24"/>
          <w:szCs w:val="24"/>
          <w:highlight w:val="lightGray"/>
          <w:lang w:eastAsia="pl-PL"/>
        </w:rPr>
        <w:t>,</w:t>
      </w:r>
      <w:hyperlink r:id="rId4">
        <w:r>
          <w:rPr>
            <w:rFonts w:eastAsia="Times New Roman" w:cs="Times New Roman" w:ascii="Times New Roman" w:hAnsi="Times New Roman"/>
            <w:b/>
            <w:bCs/>
            <w:sz w:val="24"/>
            <w:szCs w:val="24"/>
            <w:highlight w:val="lightGray"/>
            <w:lang w:eastAsia="pl-PL"/>
          </w:rPr>
          <w:t>art. 66</w:t>
        </w:r>
      </w:hyperlink>
      <w:r>
        <w:rPr>
          <w:rFonts w:eastAsia="Times New Roman" w:cs="Times New Roman" w:ascii="Times New Roman" w:hAnsi="Times New Roman"/>
          <w:b/>
          <w:bCs/>
          <w:sz w:val="24"/>
          <w:szCs w:val="24"/>
          <w:highlight w:val="lightGray"/>
          <w:lang w:eastAsia="pl-PL"/>
        </w:rPr>
        <w:t> i </w:t>
      </w:r>
      <w:hyperlink r:id="rId5">
        <w:r>
          <w:rPr>
            <w:rFonts w:eastAsia="Times New Roman" w:cs="Times New Roman" w:ascii="Times New Roman" w:hAnsi="Times New Roman"/>
            <w:b/>
            <w:bCs/>
            <w:sz w:val="24"/>
            <w:szCs w:val="24"/>
            <w:highlight w:val="lightGray"/>
            <w:lang w:eastAsia="pl-PL"/>
          </w:rPr>
          <w:t>art. 69</w:t>
        </w:r>
      </w:hyperlink>
      <w:r>
        <w:rPr>
          <w:rFonts w:eastAsia="Times New Roman" w:cs="Times New Roman" w:ascii="Times New Roman" w:hAnsi="Times New Roman"/>
          <w:b/>
          <w:i/>
          <w:sz w:val="24"/>
          <w:szCs w:val="24"/>
          <w:lang w:eastAsia="pl-PL"/>
        </w:rPr>
        <w:t xml:space="preserve"> </w:t>
      </w:r>
    </w:p>
    <w:p>
      <w:pPr>
        <w:pStyle w:val="Normal"/>
        <w:shd w:val="clear" w:color="auto" w:fill="FFFFFF"/>
        <w:spacing w:lineRule="auto" w:line="240" w:before="0" w:after="0"/>
        <w:jc w:val="both"/>
        <w:rPr>
          <w:rFonts w:ascii="Times New Roman" w:hAnsi="Times New Roman" w:eastAsia="Times New Roman" w:cs="Times New Roman"/>
          <w:b/>
          <w:b/>
          <w:i/>
          <w:i/>
          <w:sz w:val="24"/>
          <w:szCs w:val="24"/>
          <w:lang w:eastAsia="pl-PL"/>
        </w:rPr>
      </w:pPr>
      <w:r>
        <w:rPr>
          <w:rFonts w:eastAsia="Times New Roman" w:cs="Times New Roman" w:ascii="Times New Roman" w:hAnsi="Times New Roman"/>
          <w:b/>
          <w:i/>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Cs/>
          <w:iCs/>
          <w:sz w:val="24"/>
          <w:szCs w:val="24"/>
          <w:lang w:eastAsia="pl-PL"/>
        </w:rPr>
      </w:pPr>
      <w:r>
        <w:rPr>
          <w:rFonts w:eastAsia="Times New Roman" w:cs="Times New Roman" w:ascii="Times New Roman" w:hAnsi="Times New Roman"/>
          <w:bCs/>
          <w:iCs/>
          <w:sz w:val="24"/>
          <w:szCs w:val="24"/>
          <w:lang w:eastAsia="pl-PL"/>
        </w:rPr>
        <w:t>Nie dotyczy.</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Wskazanie osób uprawnionych do komunikowania się z wykonawcami</w:t>
      </w:r>
    </w:p>
    <w:p>
      <w:pPr>
        <w:pStyle w:val="Normal"/>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5"/>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Osobami ze strony Zamawiającego upoważnionymi do kontaktowania się z wykonawcami jest/są:</w:t>
      </w:r>
    </w:p>
    <w:p>
      <w:pPr>
        <w:pStyle w:val="Normal"/>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Specjalista ds epidemiologii mgr Joanna Marczak, </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telefon (41) 390 263  fax. (41) 390 23 19 </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e -mail: marketing@zoz.konskie.pl  w godz. pomiędzy   9.00 a 12.30</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5"/>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Osobą ze strony Zamawiającego upoważnioną do potwierdzenia wpływu oświadczeń, wniosków, zawiadomień oraz innych informacji przekazanych za pomocą faksu </w:t>
        <w:br/>
        <w:t>lub drogą elektroniczną jest:  Anna  Drabik</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b/>
          <w:bCs/>
          <w:sz w:val="24"/>
          <w:szCs w:val="24"/>
        </w:rPr>
        <w:tab/>
      </w:r>
      <w:r>
        <w:rPr>
          <w:rFonts w:cs="Times New Roman" w:ascii="Times New Roman" w:hAnsi="Times New Roman"/>
          <w:sz w:val="24"/>
          <w:szCs w:val="24"/>
        </w:rPr>
        <w:t>telefon (41) 390 23 14</w:t>
        <w:tab/>
        <w:t xml:space="preserve"> faks (41) 390 23 19  </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e-mail: marketing@zoz.konskie.pl     w godz. pomiędzy 9.00 a 12.30</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Termin związania ofertą</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8"/>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Bieg terminu związania ofertą rozpoczyna się wraz z upływem terminu składania ofert.</w:t>
      </w:r>
    </w:p>
    <w:p>
      <w:pPr>
        <w:pStyle w:val="ListParagraph"/>
        <w:numPr>
          <w:ilvl w:val="0"/>
          <w:numId w:val="8"/>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Wykonawca pozostaje związany ofertą przez okres 30 dni od dnia upływu terminu składania ofert.</w:t>
      </w:r>
    </w:p>
    <w:p>
      <w:pPr>
        <w:pStyle w:val="ListParagraph"/>
        <w:numPr>
          <w:ilvl w:val="0"/>
          <w:numId w:val="8"/>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w:t>
        <w:br/>
        <w:t>o wskazywany okres, nie dłuższy niż 30 dni.</w:t>
      </w:r>
    </w:p>
    <w:p>
      <w:pPr>
        <w:pStyle w:val="ListParagraph"/>
        <w:numPr>
          <w:ilvl w:val="0"/>
          <w:numId w:val="8"/>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Przedłużenie terminu związania ofertą, wymaga złożenia przez wykonawcę pisemnego oświadczenia o wyrażeniu zgody na przedłużenie terminu związania ofertą.</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Opis sposobu przygotowania oferty</w:t>
      </w:r>
    </w:p>
    <w:p>
      <w:pPr>
        <w:pStyle w:val="ListParagraph"/>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Przygotowanie oferty:</w:t>
      </w:r>
    </w:p>
    <w:p>
      <w:pPr>
        <w:pStyle w:val="ListParagraph"/>
        <w:numPr>
          <w:ilvl w:val="0"/>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Wykonawca może złożyć jedną ofertę.</w:t>
      </w:r>
    </w:p>
    <w:p>
      <w:pPr>
        <w:pStyle w:val="ListParagraph"/>
        <w:numPr>
          <w:ilvl w:val="0"/>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Koszty związane z przygotowaniem oferty ponosi składający ofertę.</w:t>
      </w:r>
    </w:p>
    <w:p>
      <w:pPr>
        <w:pStyle w:val="ListParagraph"/>
        <w:numPr>
          <w:ilvl w:val="0"/>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Oferta oraz wymagane formularze, zestawienia i wykazy składane wraz z ofertą wymagają podpisu osób uprawnionych do reprezentowania firmy w obrocie gospodarczym.</w:t>
      </w:r>
    </w:p>
    <w:p>
      <w:pPr>
        <w:pStyle w:val="ListParagraph"/>
        <w:numPr>
          <w:ilvl w:val="0"/>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Oferta podpisana przez upoważnionego przedstawiciela wykonawcy wymaga załączenia właściwego pełnomocnictwa lub umocowania prawnego.</w:t>
      </w:r>
    </w:p>
    <w:p>
      <w:pPr>
        <w:pStyle w:val="ListParagraph"/>
        <w:numPr>
          <w:ilvl w:val="0"/>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Oferta powinna zawierać wszystkie wymagane dokumenty, oświadczenia, załączniki i inne dokumenty, o których mowa w treści niniejszej specyfikacji.</w:t>
      </w:r>
    </w:p>
    <w:p>
      <w:pPr>
        <w:pStyle w:val="ListParagraph"/>
        <w:numPr>
          <w:ilvl w:val="0"/>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Dokumenty winny być sporządzone zgodnie z zaleceniami oraz przedstawionymi przez zamawiającego wzorcami (załącznikami), zawierać informacje i dane określone w tych dokumentach.</w:t>
      </w:r>
    </w:p>
    <w:p>
      <w:pPr>
        <w:pStyle w:val="ListParagraph"/>
        <w:numPr>
          <w:ilvl w:val="0"/>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p>
    <w:p>
      <w:pPr>
        <w:pStyle w:val="ListParagraph"/>
        <w:numPr>
          <w:ilvl w:val="0"/>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określonym w art. 225 wykonawca, składając ofertę, informuje zamawiającego, że: </w:t>
      </w:r>
    </w:p>
    <w:p>
      <w:pPr>
        <w:pStyle w:val="ListParagraph"/>
        <w:numPr>
          <w:ilvl w:val="1"/>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wybór jego oferty będzie prowadził do powstania u zamawiającego obowiązku podatkowego; </w:t>
      </w:r>
    </w:p>
    <w:p>
      <w:pPr>
        <w:pStyle w:val="ListParagraph"/>
        <w:numPr>
          <w:ilvl w:val="1"/>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wskazuje nazwy (rodzaju) towaru lub usługi, których dostawa lub świadczenie będą prowadziły do powstania obowiązku podatkowego; </w:t>
      </w:r>
    </w:p>
    <w:p>
      <w:pPr>
        <w:pStyle w:val="ListParagraph"/>
        <w:numPr>
          <w:ilvl w:val="1"/>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wskazuje wartości towaru lub usługi objętego obowiązkiem podatkowym zamawiającego, bez kwoty podatku; </w:t>
      </w:r>
    </w:p>
    <w:p>
      <w:pPr>
        <w:pStyle w:val="ListParagraph"/>
        <w:numPr>
          <w:ilvl w:val="1"/>
          <w:numId w:val="1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wskazuje stawkę podatku od towarów i usług, która zgodnie z wiedzą wykonawcy, będzie miała zastosowanie.</w:t>
      </w:r>
    </w:p>
    <w:p>
      <w:pPr>
        <w:pStyle w:val="ListParagraph"/>
        <w:numPr>
          <w:ilvl w:val="0"/>
          <w:numId w:val="1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Postanowienia dotyczące wnoszenia oferty wspólnej przez dwa lub więcej podmioty gospodarcze (konsorcja/ spółki cywilne):</w:t>
      </w:r>
    </w:p>
    <w:p>
      <w:pPr>
        <w:pStyle w:val="ListParagraph"/>
        <w:numPr>
          <w:ilvl w:val="0"/>
          <w:numId w:val="1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Wykonawcy mogą wspólnie ubiegać się o udzielenie zamówienia.</w:t>
      </w:r>
    </w:p>
    <w:p>
      <w:pPr>
        <w:pStyle w:val="ListParagraph"/>
        <w:numPr>
          <w:ilvl w:val="0"/>
          <w:numId w:val="1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Wykonawcy ustanawiają pełnomocnika do reprezentowania ich w postępowaniu </w:t>
        <w:br/>
        <w:t>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pPr>
        <w:pStyle w:val="ListParagraph"/>
        <w:numPr>
          <w:ilvl w:val="0"/>
          <w:numId w:val="1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Oferta winna być podpisana przez każdego z wykonawców występujących wspólnie lub przez upoważnionego przedstawiciela.</w:t>
      </w:r>
    </w:p>
    <w:p>
      <w:pPr>
        <w:pStyle w:val="ListParagraph"/>
        <w:numPr>
          <w:ilvl w:val="0"/>
          <w:numId w:val="1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Wykonawcy wspólnie ubiegający się o udzielenie zamówienia ponoszą solidarną odpowiedzialność za wykonanie umowy. </w:t>
      </w:r>
    </w:p>
    <w:p>
      <w:pPr>
        <w:pStyle w:val="ListParagraph"/>
        <w:numPr>
          <w:ilvl w:val="0"/>
          <w:numId w:val="1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pPr>
        <w:pStyle w:val="ListParagraph"/>
        <w:numPr>
          <w:ilvl w:val="0"/>
          <w:numId w:val="1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Postanowienia dotyczące prowadzenia przez Zamawiającego wyjaśnień w toku badania i oceny ofert:</w:t>
      </w:r>
    </w:p>
    <w:p>
      <w:pPr>
        <w:pStyle w:val="ListParagraph"/>
        <w:numPr>
          <w:ilvl w:val="1"/>
          <w:numId w:val="1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Zamawiający może wezwać wykonawców do złożenia, poprawienia lub uzupełnienia oświadczenia wykonawcy, podmiotowych środków dowodowych, innych dokumentów lub oświadczeń na zasadach określonych w art. 128 ustawy Pzp.</w:t>
      </w:r>
    </w:p>
    <w:p>
      <w:pPr>
        <w:pStyle w:val="ListParagraph"/>
        <w:numPr>
          <w:ilvl w:val="1"/>
          <w:numId w:val="1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Zamawiający poprawia w ofercie oczywiste omyłki pisarskie oraz oczywiste omyłki rachunkowe, z uwzględnieniem konsekwencji rachunkowych dokonanych poprawek, niezwłocznie zawiadamiając o tym wykonawcę, którego oferta została poprawiona.</w:t>
      </w:r>
    </w:p>
    <w:p>
      <w:pPr>
        <w:pStyle w:val="ListParagraph"/>
        <w:numPr>
          <w:ilvl w:val="1"/>
          <w:numId w:val="1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poprawia w ofercie inne omyłki polegające na niezgodności oferty </w:t>
        <w:br/>
        <w:t>z dokumentami zamówienia, niepowodujące istotnych zmian w treści oferty, niezwłocznie zawiadamiając o tym wykonawcę, którego oferta została poprawiona.</w:t>
      </w:r>
    </w:p>
    <w:p>
      <w:pPr>
        <w:pStyle w:val="ListParagraph"/>
        <w:numPr>
          <w:ilvl w:val="1"/>
          <w:numId w:val="1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W przypadku, o którym mowa w pkt 2 i 3, zamawiający wyznacza wykonawcy odpowiedni termin na wyrażenie zgody na poprawienie w ofercie omyłki lub zakwestionowanie jej poprawienia. Brak odpowiedzi w wyznaczonym terminie uznaje się za wyrażenie zgody na poprawienie omyłki.</w:t>
      </w:r>
    </w:p>
    <w:p>
      <w:pPr>
        <w:pStyle w:val="ListParagraph"/>
        <w:numPr>
          <w:ilvl w:val="1"/>
          <w:numId w:val="1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w:t>
        <w:br/>
        <w:t xml:space="preserve">z wymaganiami określonymi w niniejszej specyfikacji lub wynikającymi </w:t>
        <w:br/>
        <w:t>z odrębnych przepisów, zamawiający zażąda od wykonawcy wyjaśnień, w tym złożenia dowodów w zakresie wyliczenia ceny lub kosztu, lub ich istotnych części składowych. 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Sposób oraz termin składania ofert</w:t>
      </w:r>
    </w:p>
    <w:p>
      <w:pPr>
        <w:pStyle w:val="ListParagraph"/>
        <w:spacing w:lineRule="auto" w:line="240" w:before="0" w:after="0"/>
        <w:ind w:left="284" w:hanging="284"/>
        <w:contextualSpacing/>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Oferty należy składać do dnia: </w:t>
      </w:r>
      <w:r>
        <w:rPr>
          <w:rFonts w:cs="Times New Roman" w:ascii="Times New Roman" w:hAnsi="Times New Roman"/>
          <w:b/>
          <w:bCs/>
          <w:sz w:val="24"/>
          <w:szCs w:val="24"/>
        </w:rPr>
        <w:t>2</w:t>
      </w:r>
      <w:r>
        <w:rPr>
          <w:rFonts w:cs="Times New Roman" w:ascii="Times New Roman" w:hAnsi="Times New Roman"/>
          <w:b/>
          <w:bCs/>
          <w:sz w:val="24"/>
          <w:szCs w:val="24"/>
        </w:rPr>
        <w:t>4</w:t>
      </w:r>
      <w:r>
        <w:rPr>
          <w:rFonts w:cs="Times New Roman" w:ascii="Times New Roman" w:hAnsi="Times New Roman"/>
          <w:b/>
          <w:bCs/>
          <w:sz w:val="24"/>
          <w:szCs w:val="24"/>
        </w:rPr>
        <w:t>.02.</w:t>
      </w:r>
      <w:r>
        <w:rPr>
          <w:rFonts w:cs="Times New Roman" w:ascii="Times New Roman" w:hAnsi="Times New Roman"/>
          <w:b/>
          <w:sz w:val="24"/>
          <w:szCs w:val="24"/>
        </w:rPr>
        <w:t>2023r</w:t>
      </w:r>
      <w:r>
        <w:rPr>
          <w:rFonts w:cs="Times New Roman" w:ascii="Times New Roman" w:hAnsi="Times New Roman"/>
          <w:sz w:val="24"/>
          <w:szCs w:val="24"/>
        </w:rPr>
        <w:t xml:space="preserve">. do godz. </w:t>
      </w:r>
      <w:r>
        <w:rPr>
          <w:rFonts w:cs="Times New Roman" w:ascii="Times New Roman" w:hAnsi="Times New Roman"/>
          <w:b/>
          <w:sz w:val="24"/>
          <w:szCs w:val="24"/>
        </w:rPr>
        <w:t>10.45</w:t>
      </w:r>
    </w:p>
    <w:p>
      <w:pPr>
        <w:pStyle w:val="ListParagraph"/>
        <w:numPr>
          <w:ilvl w:val="0"/>
          <w:numId w:val="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Ofertę oraz wszystkie załączniki składa się pod rygorem nieważności w formie elektronicznej lub w postaci elektronicznej opatrzonej podpisem zaufanym </w:t>
        <w:br/>
        <w:t xml:space="preserve">lub podpisem osobistym. </w:t>
      </w:r>
    </w:p>
    <w:p>
      <w:pPr>
        <w:pStyle w:val="ListParagraph"/>
        <w:numPr>
          <w:ilvl w:val="0"/>
          <w:numId w:val="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składa ofertę za pośrednictwem Platformy zamówieniowej https://ezamowienia.gov.pl/  </w:t>
      </w:r>
    </w:p>
    <w:p>
      <w:pPr>
        <w:pStyle w:val="ListParagraph"/>
        <w:numPr>
          <w:ilvl w:val="0"/>
          <w:numId w:val="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r>
    </w:p>
    <w:p>
      <w:pPr>
        <w:pStyle w:val="ListParagraph"/>
        <w:numPr>
          <w:ilvl w:val="0"/>
          <w:numId w:val="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Sposób złożenia oferty, w tym zaszyfrowania oferty opisany został w Regulaminie Platformy zamówieniowej. Ofertę należy złożyć w oryginale. Zamawiający dopuszcza możliwość złożenia oferty w formie skanu dokumentu pierwotnie wytworzonego </w:t>
        <w:br/>
        <w:t>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p>
    <w:p>
      <w:pPr>
        <w:pStyle w:val="ListParagraph"/>
        <w:numPr>
          <w:ilvl w:val="0"/>
          <w:numId w:val="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p>
    <w:p>
      <w:pPr>
        <w:pStyle w:val="ListParagraph"/>
        <w:numPr>
          <w:ilvl w:val="0"/>
          <w:numId w:val="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Wykonawca może przed upływem terminu do składania ofert zmienić lub wycofać ofertę za  pośrednictwem Platformy zamówieniowej. Po upływie terminu do składania ofert wykonawca nie może skutecznie dokonać zmiany ani wycofać złożonej oferty.</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Termin otwarcia ofert</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ind w:left="284" w:hanging="284"/>
        <w:rPr>
          <w:rFonts w:ascii="Times New Roman" w:hAnsi="Times New Roman" w:cs="Times New Roman"/>
          <w:b/>
          <w:b/>
          <w:sz w:val="24"/>
          <w:szCs w:val="24"/>
        </w:rPr>
      </w:pPr>
      <w:r>
        <w:rPr>
          <w:rFonts w:cs="Times New Roman" w:ascii="Times New Roman" w:hAnsi="Times New Roman"/>
          <w:sz w:val="24"/>
          <w:szCs w:val="24"/>
        </w:rPr>
        <w:t xml:space="preserve">Oferty zostaną otwarte w dniu </w:t>
      </w:r>
      <w:r>
        <w:rPr>
          <w:rFonts w:cs="Times New Roman" w:ascii="Times New Roman" w:hAnsi="Times New Roman"/>
          <w:b/>
          <w:sz w:val="24"/>
          <w:szCs w:val="24"/>
        </w:rPr>
        <w:t>2</w:t>
      </w:r>
      <w:r>
        <w:rPr>
          <w:rFonts w:cs="Times New Roman" w:ascii="Times New Roman" w:hAnsi="Times New Roman"/>
          <w:b/>
          <w:sz w:val="24"/>
          <w:szCs w:val="24"/>
        </w:rPr>
        <w:t>4</w:t>
      </w:r>
      <w:r>
        <w:rPr>
          <w:rFonts w:cs="Times New Roman" w:ascii="Times New Roman" w:hAnsi="Times New Roman"/>
          <w:b/>
          <w:bCs/>
          <w:sz w:val="24"/>
          <w:szCs w:val="24"/>
        </w:rPr>
        <w:t>.02.</w:t>
      </w:r>
      <w:r>
        <w:rPr>
          <w:rFonts w:cs="Times New Roman" w:ascii="Times New Roman" w:hAnsi="Times New Roman"/>
          <w:b/>
          <w:sz w:val="24"/>
          <w:szCs w:val="24"/>
        </w:rPr>
        <w:t>2023r</w:t>
      </w:r>
      <w:r>
        <w:rPr>
          <w:rFonts w:cs="Times New Roman" w:ascii="Times New Roman" w:hAnsi="Times New Roman"/>
          <w:sz w:val="24"/>
          <w:szCs w:val="24"/>
        </w:rPr>
        <w:t xml:space="preserve">. o godz. </w:t>
      </w:r>
      <w:r>
        <w:rPr>
          <w:rFonts w:cs="Times New Roman" w:ascii="Times New Roman" w:hAnsi="Times New Roman"/>
          <w:b/>
          <w:sz w:val="24"/>
          <w:szCs w:val="24"/>
        </w:rPr>
        <w:t>11.00</w:t>
      </w:r>
      <w:r>
        <w:rPr>
          <w:rFonts w:cs="Times New Roman" w:ascii="Times New Roman" w:hAnsi="Times New Roman"/>
          <w:sz w:val="24"/>
          <w:szCs w:val="24"/>
        </w:rPr>
        <w:t xml:space="preserve"> </w:t>
        <w:b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Podstawy wykluczenia, o których mowa w </w:t>
      </w:r>
      <w:hyperlink r:id="rId6">
        <w:r>
          <w:rPr>
            <w:rFonts w:eastAsia="Times New Roman" w:cs="Times New Roman" w:ascii="Times New Roman" w:hAnsi="Times New Roman"/>
            <w:b/>
            <w:bCs/>
            <w:sz w:val="24"/>
            <w:szCs w:val="24"/>
            <w:highlight w:val="lightGray"/>
            <w:lang w:eastAsia="pl-PL"/>
          </w:rPr>
          <w:t>art. 108 ust. 1</w:t>
        </w:r>
      </w:hyperlink>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ind w:left="284" w:hanging="284"/>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Z udziału w niniejszym postępowaniu wyklucza się wykonawców, którzy podlegają wykluczeniu na podstawie    art. 108 ust. 1 ustawy Pzp, tj.:</w:t>
      </w:r>
    </w:p>
    <w:p>
      <w:pPr>
        <w:pStyle w:val="ListParagraph"/>
        <w:numPr>
          <w:ilvl w:val="0"/>
          <w:numId w:val="4"/>
        </w:numPr>
        <w:shd w:val="clear" w:color="auto" w:fill="FFFFFF"/>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 postępowania o udzielenie zamówienia wyklucza się wykonawcę:</w:t>
      </w:r>
      <w:bookmarkStart w:id="0" w:name="mip64557930"/>
      <w:bookmarkEnd w:id="0"/>
    </w:p>
    <w:p>
      <w:pPr>
        <w:pStyle w:val="ListParagraph"/>
        <w:numPr>
          <w:ilvl w:val="0"/>
          <w:numId w:val="3"/>
        </w:numPr>
        <w:shd w:val="clear" w:color="auto" w:fill="FFFFFF"/>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będącego osobą fizyczną, którego prawomocnie skazano za przestępstwo:</w:t>
      </w:r>
    </w:p>
    <w:p>
      <w:pPr>
        <w:pStyle w:val="ListParagraph"/>
        <w:numPr>
          <w:ilvl w:val="1"/>
          <w:numId w:val="3"/>
        </w:numPr>
        <w:shd w:val="clear" w:color="auto" w:fill="FFFFFF"/>
        <w:suppressAutoHyphens w:val="false"/>
        <w:spacing w:lineRule="auto" w:line="240" w:before="0" w:after="0"/>
        <w:ind w:left="284" w:hanging="284"/>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udziału w zorganizowanej grupie przestępczej albo związku mającym na celu popełnienie przestępstwa lub przestępstwa skarbowego, o którym mowa w </w:t>
      </w:r>
      <w:hyperlink r:id="rId7">
        <w:r>
          <w:rPr>
            <w:rFonts w:eastAsia="Times New Roman" w:cs="Times New Roman" w:ascii="Times New Roman" w:hAnsi="Times New Roman"/>
            <w:sz w:val="24"/>
            <w:szCs w:val="24"/>
            <w:lang w:eastAsia="pl-PL"/>
          </w:rPr>
          <w:t>art. 258</w:t>
        </w:r>
      </w:hyperlink>
      <w:r>
        <w:rPr>
          <w:rFonts w:eastAsia="Times New Roman" w:cs="Times New Roman" w:ascii="Times New Roman" w:hAnsi="Times New Roman"/>
          <w:sz w:val="24"/>
          <w:szCs w:val="24"/>
          <w:lang w:eastAsia="pl-PL"/>
        </w:rPr>
        <w:t> Kodeksu karnego,</w:t>
      </w:r>
    </w:p>
    <w:p>
      <w:pPr>
        <w:pStyle w:val="ListParagraph"/>
        <w:numPr>
          <w:ilvl w:val="1"/>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sz w:val="24"/>
          <w:szCs w:val="24"/>
          <w:lang w:eastAsia="pl-PL"/>
        </w:rPr>
        <w:t>handlu ludźmi, o którym mowa w </w:t>
      </w:r>
      <w:hyperlink r:id="rId8">
        <w:r>
          <w:rPr>
            <w:rFonts w:eastAsia="Times New Roman" w:cs="Times New Roman" w:ascii="Times New Roman" w:hAnsi="Times New Roman"/>
            <w:sz w:val="24"/>
            <w:szCs w:val="24"/>
            <w:lang w:eastAsia="pl-PL"/>
          </w:rPr>
          <w:t>art. 189a</w:t>
        </w:r>
      </w:hyperlink>
      <w:r>
        <w:rPr>
          <w:rFonts w:eastAsia="Times New Roman" w:cs="Times New Roman" w:ascii="Times New Roman" w:hAnsi="Times New Roman"/>
          <w:sz w:val="24"/>
          <w:szCs w:val="24"/>
          <w:lang w:eastAsia="pl-PL"/>
        </w:rPr>
        <w:t> Kodeksu karnego,</w:t>
      </w:r>
    </w:p>
    <w:p>
      <w:pPr>
        <w:pStyle w:val="ListParagraph"/>
        <w:numPr>
          <w:ilvl w:val="1"/>
          <w:numId w:val="3"/>
        </w:numPr>
        <w:shd w:val="clear" w:color="auto" w:fill="FFFFFF"/>
        <w:suppressAutoHyphens w:val="false"/>
        <w:spacing w:lineRule="auto" w:line="240" w:before="0" w:after="0"/>
        <w:ind w:left="284" w:hanging="284"/>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 którym mowa w </w:t>
      </w:r>
      <w:hyperlink r:id="rId9">
        <w:r>
          <w:rPr>
            <w:rFonts w:eastAsia="Times New Roman" w:cs="Times New Roman" w:ascii="Times New Roman" w:hAnsi="Times New Roman"/>
            <w:sz w:val="24"/>
            <w:szCs w:val="24"/>
            <w:lang w:eastAsia="pl-PL"/>
          </w:rPr>
          <w:t>art. 228-230a</w:t>
        </w:r>
      </w:hyperlink>
      <w:r>
        <w:rPr>
          <w:rFonts w:eastAsia="Times New Roman" w:cs="Times New Roman" w:ascii="Times New Roman" w:hAnsi="Times New Roman"/>
          <w:sz w:val="24"/>
          <w:szCs w:val="24"/>
          <w:lang w:eastAsia="pl-PL"/>
        </w:rPr>
        <w:t>, </w:t>
      </w:r>
      <w:hyperlink r:id="rId10">
        <w:r>
          <w:rPr>
            <w:rFonts w:eastAsia="Times New Roman" w:cs="Times New Roman" w:ascii="Times New Roman" w:hAnsi="Times New Roman"/>
            <w:sz w:val="24"/>
            <w:szCs w:val="24"/>
            <w:lang w:eastAsia="pl-PL"/>
          </w:rPr>
          <w:t>art. 250a</w:t>
        </w:r>
      </w:hyperlink>
      <w:r>
        <w:rPr>
          <w:rFonts w:eastAsia="Times New Roman" w:cs="Times New Roman" w:ascii="Times New Roman" w:hAnsi="Times New Roman"/>
          <w:sz w:val="24"/>
          <w:szCs w:val="24"/>
          <w:lang w:eastAsia="pl-PL"/>
        </w:rPr>
        <w:t> Kodeksu karnego, w </w:t>
      </w:r>
      <w:hyperlink r:id="rId11">
        <w:r>
          <w:rPr>
            <w:rFonts w:eastAsia="Times New Roman" w:cs="Times New Roman" w:ascii="Times New Roman" w:hAnsi="Times New Roman"/>
            <w:sz w:val="24"/>
            <w:szCs w:val="24"/>
            <w:lang w:eastAsia="pl-PL"/>
          </w:rPr>
          <w:t>art. 46-48</w:t>
        </w:r>
      </w:hyperlink>
      <w:r>
        <w:rPr>
          <w:rFonts w:eastAsia="Times New Roman" w:cs="Times New Roman" w:ascii="Times New Roman" w:hAnsi="Times New Roman"/>
          <w:sz w:val="24"/>
          <w:szCs w:val="24"/>
          <w:lang w:eastAsia="pl-PL"/>
        </w:rPr>
        <w:t> ustawy z dnia 25 czerwca 2010 r. o sporcie (Dz.U. z 2020 r. </w:t>
      </w:r>
      <w:hyperlink r:id="rId12">
        <w:r>
          <w:rPr>
            <w:rFonts w:eastAsia="Times New Roman" w:cs="Times New Roman" w:ascii="Times New Roman" w:hAnsi="Times New Roman"/>
            <w:sz w:val="24"/>
            <w:szCs w:val="24"/>
            <w:lang w:eastAsia="pl-PL"/>
          </w:rPr>
          <w:t>poz. 1133</w:t>
        </w:r>
      </w:hyperlink>
      <w:r>
        <w:rPr>
          <w:rFonts w:eastAsia="Times New Roman" w:cs="Times New Roman" w:ascii="Times New Roman" w:hAnsi="Times New Roman"/>
          <w:sz w:val="24"/>
          <w:szCs w:val="24"/>
          <w:lang w:eastAsia="pl-PL"/>
        </w:rPr>
        <w:t> oraz z 2021 r. </w:t>
      </w:r>
      <w:hyperlink r:id="rId13">
        <w:r>
          <w:rPr>
            <w:rFonts w:eastAsia="Times New Roman" w:cs="Times New Roman" w:ascii="Times New Roman" w:hAnsi="Times New Roman"/>
            <w:sz w:val="24"/>
            <w:szCs w:val="24"/>
            <w:lang w:eastAsia="pl-PL"/>
          </w:rPr>
          <w:t>poz. 2054</w:t>
        </w:r>
      </w:hyperlink>
      <w:r>
        <w:rPr>
          <w:rFonts w:eastAsia="Times New Roman" w:cs="Times New Roman" w:ascii="Times New Roman" w:hAnsi="Times New Roman"/>
          <w:sz w:val="24"/>
          <w:szCs w:val="24"/>
          <w:lang w:eastAsia="pl-PL"/>
        </w:rPr>
        <w:t> i </w:t>
      </w:r>
      <w:hyperlink r:id="rId14">
        <w:r>
          <w:rPr>
            <w:rFonts w:eastAsia="Times New Roman" w:cs="Times New Roman" w:ascii="Times New Roman" w:hAnsi="Times New Roman"/>
            <w:sz w:val="24"/>
            <w:szCs w:val="24"/>
            <w:lang w:eastAsia="pl-PL"/>
          </w:rPr>
          <w:t>2142</w:t>
        </w:r>
      </w:hyperlink>
      <w:r>
        <w:rPr>
          <w:rFonts w:eastAsia="Times New Roman" w:cs="Times New Roman" w:ascii="Times New Roman" w:hAnsi="Times New Roman"/>
          <w:sz w:val="24"/>
          <w:szCs w:val="24"/>
          <w:lang w:eastAsia="pl-PL"/>
        </w:rPr>
        <w:t>) lub w </w:t>
      </w:r>
      <w:hyperlink r:id="rId15">
        <w:r>
          <w:rPr>
            <w:rFonts w:eastAsia="Times New Roman" w:cs="Times New Roman" w:ascii="Times New Roman" w:hAnsi="Times New Roman"/>
            <w:sz w:val="24"/>
            <w:szCs w:val="24"/>
            <w:lang w:eastAsia="pl-PL"/>
          </w:rPr>
          <w:t>art. 54 ust. 1-4</w:t>
        </w:r>
      </w:hyperlink>
      <w:r>
        <w:rPr>
          <w:rFonts w:eastAsia="Times New Roman" w:cs="Times New Roman" w:ascii="Times New Roman" w:hAnsi="Times New Roman"/>
          <w:sz w:val="24"/>
          <w:szCs w:val="24"/>
          <w:lang w:eastAsia="pl-PL"/>
        </w:rPr>
        <w:t> ustawy z dnia 12 maja 2011 r. o refundacji leków, środków spożywczych specjalnego przeznaczenia żywieniowego oraz wyrobów medycznych (Dz.U. z 2022 r. </w:t>
      </w:r>
      <w:hyperlink r:id="rId16">
        <w:r>
          <w:rPr>
            <w:rFonts w:eastAsia="Times New Roman" w:cs="Times New Roman" w:ascii="Times New Roman" w:hAnsi="Times New Roman"/>
            <w:sz w:val="24"/>
            <w:szCs w:val="24"/>
            <w:lang w:eastAsia="pl-PL"/>
          </w:rPr>
          <w:t>poz. 463</w:t>
        </w:r>
      </w:hyperlink>
      <w:r>
        <w:rPr>
          <w:rFonts w:eastAsia="Times New Roman" w:cs="Times New Roman" w:ascii="Times New Roman" w:hAnsi="Times New Roman"/>
          <w:sz w:val="24"/>
          <w:szCs w:val="24"/>
          <w:lang w:eastAsia="pl-PL"/>
        </w:rPr>
        <w:t>, </w:t>
      </w:r>
      <w:hyperlink r:id="rId17">
        <w:r>
          <w:rPr>
            <w:rFonts w:eastAsia="Times New Roman" w:cs="Times New Roman" w:ascii="Times New Roman" w:hAnsi="Times New Roman"/>
            <w:sz w:val="24"/>
            <w:szCs w:val="24"/>
            <w:lang w:eastAsia="pl-PL"/>
          </w:rPr>
          <w:t>583</w:t>
        </w:r>
      </w:hyperlink>
      <w:r>
        <w:rPr>
          <w:rFonts w:eastAsia="Times New Roman" w:cs="Times New Roman" w:ascii="Times New Roman" w:hAnsi="Times New Roman"/>
          <w:sz w:val="24"/>
          <w:szCs w:val="24"/>
          <w:lang w:eastAsia="pl-PL"/>
        </w:rPr>
        <w:t> i </w:t>
      </w:r>
      <w:hyperlink r:id="rId18">
        <w:r>
          <w:rPr>
            <w:rFonts w:eastAsia="Times New Roman" w:cs="Times New Roman" w:ascii="Times New Roman" w:hAnsi="Times New Roman"/>
            <w:sz w:val="24"/>
            <w:szCs w:val="24"/>
            <w:lang w:eastAsia="pl-PL"/>
          </w:rPr>
          <w:t>974</w:t>
        </w:r>
      </w:hyperlink>
      <w:r>
        <w:rPr>
          <w:rFonts w:eastAsia="Times New Roman" w:cs="Times New Roman" w:ascii="Times New Roman" w:hAnsi="Times New Roman"/>
          <w:sz w:val="24"/>
          <w:szCs w:val="24"/>
          <w:lang w:eastAsia="pl-PL"/>
        </w:rPr>
        <w:t>),</w:t>
      </w:r>
    </w:p>
    <w:p>
      <w:pPr>
        <w:pStyle w:val="ListParagraph"/>
        <w:numPr>
          <w:ilvl w:val="1"/>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finansowania przestępstwa o charakterze terrorystycznym, o którym mowa w </w:t>
      </w:r>
      <w:hyperlink r:id="rId19">
        <w:r>
          <w:rPr>
            <w:rFonts w:eastAsia="Times New Roman" w:cs="Times New Roman" w:ascii="Times New Roman" w:hAnsi="Times New Roman"/>
            <w:sz w:val="24"/>
            <w:szCs w:val="24"/>
            <w:lang w:eastAsia="pl-PL"/>
          </w:rPr>
          <w:t>art. 165a</w:t>
        </w:r>
      </w:hyperlink>
      <w:r>
        <w:rPr>
          <w:rFonts w:eastAsia="Times New Roman" w:cs="Times New Roman" w:ascii="Times New Roman" w:hAnsi="Times New Roman"/>
          <w:sz w:val="24"/>
          <w:szCs w:val="24"/>
          <w:lang w:eastAsia="pl-PL"/>
        </w:rPr>
        <w:t> Kodeksu karnego, lub przestępstwo udaremniania lub utrudniania stwierdzenia przestępnego pochodzenia pieniędzy lub ukrywania ich pochodzenia, o którym mowa w </w:t>
      </w:r>
      <w:hyperlink r:id="rId20">
        <w:r>
          <w:rPr>
            <w:rFonts w:eastAsia="Times New Roman" w:cs="Times New Roman" w:ascii="Times New Roman" w:hAnsi="Times New Roman"/>
            <w:sz w:val="24"/>
            <w:szCs w:val="24"/>
            <w:lang w:eastAsia="pl-PL"/>
          </w:rPr>
          <w:t>art. 299</w:t>
        </w:r>
      </w:hyperlink>
      <w:r>
        <w:rPr>
          <w:rFonts w:eastAsia="Times New Roman" w:cs="Times New Roman" w:ascii="Times New Roman" w:hAnsi="Times New Roman"/>
          <w:sz w:val="24"/>
          <w:szCs w:val="24"/>
          <w:lang w:eastAsia="pl-PL"/>
        </w:rPr>
        <w:t> Kodeksu karnego,</w:t>
      </w:r>
    </w:p>
    <w:p>
      <w:pPr>
        <w:pStyle w:val="ListParagraph"/>
        <w:numPr>
          <w:ilvl w:val="1"/>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 charakterze terrorystycznym, o którym mowa w </w:t>
      </w:r>
      <w:hyperlink r:id="rId21">
        <w:r>
          <w:rPr>
            <w:rFonts w:eastAsia="Times New Roman" w:cs="Times New Roman" w:ascii="Times New Roman" w:hAnsi="Times New Roman"/>
            <w:sz w:val="24"/>
            <w:szCs w:val="24"/>
            <w:lang w:eastAsia="pl-PL"/>
          </w:rPr>
          <w:t>art. 115 § 20</w:t>
        </w:r>
      </w:hyperlink>
      <w:r>
        <w:rPr>
          <w:rFonts w:eastAsia="Times New Roman" w:cs="Times New Roman" w:ascii="Times New Roman" w:hAnsi="Times New Roman"/>
          <w:sz w:val="24"/>
          <w:szCs w:val="24"/>
          <w:lang w:eastAsia="pl-PL"/>
        </w:rPr>
        <w:t> Kodeksu karnego, lub mające na celu popełnienie tego przestępstwa,</w:t>
      </w:r>
    </w:p>
    <w:p>
      <w:pPr>
        <w:pStyle w:val="ListParagraph"/>
        <w:numPr>
          <w:ilvl w:val="1"/>
          <w:numId w:val="3"/>
        </w:numPr>
        <w:shd w:val="clear" w:color="auto" w:fill="FFFFFF"/>
        <w:suppressAutoHyphens w:val="false"/>
        <w:spacing w:lineRule="auto" w:line="240" w:before="0" w:after="0"/>
        <w:ind w:left="284" w:hanging="284"/>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powierzenia wykonywania pracy małoletniemu cudzoziemcowi, o którym mowa </w:t>
        <w:br/>
        <w:t>w </w:t>
      </w:r>
      <w:hyperlink r:id="rId22">
        <w:r>
          <w:rPr>
            <w:rFonts w:eastAsia="Times New Roman" w:cs="Times New Roman" w:ascii="Times New Roman" w:hAnsi="Times New Roman"/>
            <w:sz w:val="24"/>
            <w:szCs w:val="24"/>
            <w:lang w:eastAsia="pl-PL"/>
          </w:rPr>
          <w:t>art. 9 ust. 2</w:t>
        </w:r>
      </w:hyperlink>
      <w:r>
        <w:rPr>
          <w:rFonts w:eastAsia="Times New Roman" w:cs="Times New Roman" w:ascii="Times New Roman" w:hAnsi="Times New Roman"/>
          <w:sz w:val="24"/>
          <w:szCs w:val="24"/>
          <w:lang w:eastAsia="pl-PL"/>
        </w:rPr>
        <w:t xml:space="preserve"> ustawy z dnia 15 czerwca 2012 r. o skutkach powierzania wykonywania </w:t>
        <w:br/>
        <w:t>pracy cudzoziemcom przebywającym wbrew przepisom na terytorium Rzeczypospolitej Polskiej (Dz.U. z 2021 r. </w:t>
      </w:r>
      <w:hyperlink r:id="rId23">
        <w:r>
          <w:rPr>
            <w:rFonts w:eastAsia="Times New Roman" w:cs="Times New Roman" w:ascii="Times New Roman" w:hAnsi="Times New Roman"/>
            <w:sz w:val="24"/>
            <w:szCs w:val="24"/>
            <w:lang w:eastAsia="pl-PL"/>
          </w:rPr>
          <w:t>poz. 1745</w:t>
        </w:r>
      </w:hyperlink>
      <w:r>
        <w:rPr>
          <w:rFonts w:eastAsia="Times New Roman" w:cs="Times New Roman" w:ascii="Times New Roman" w:hAnsi="Times New Roman"/>
          <w:sz w:val="24"/>
          <w:szCs w:val="24"/>
          <w:lang w:eastAsia="pl-PL"/>
        </w:rPr>
        <w:t>),</w:t>
      </w:r>
    </w:p>
    <w:p>
      <w:pPr>
        <w:pStyle w:val="ListParagraph"/>
        <w:numPr>
          <w:ilvl w:val="1"/>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przeciwko obrotowi gospodarczemu, o których mowa w </w:t>
      </w:r>
      <w:hyperlink r:id="rId24">
        <w:r>
          <w:rPr>
            <w:rFonts w:eastAsia="Times New Roman" w:cs="Times New Roman" w:ascii="Times New Roman" w:hAnsi="Times New Roman"/>
            <w:sz w:val="24"/>
            <w:szCs w:val="24"/>
            <w:lang w:eastAsia="pl-PL"/>
          </w:rPr>
          <w:t>art. 296-307</w:t>
        </w:r>
      </w:hyperlink>
      <w:r>
        <w:rPr>
          <w:rFonts w:eastAsia="Times New Roman" w:cs="Times New Roman" w:ascii="Times New Roman" w:hAnsi="Times New Roman"/>
          <w:sz w:val="24"/>
          <w:szCs w:val="24"/>
          <w:lang w:eastAsia="pl-PL"/>
        </w:rPr>
        <w:t> </w:t>
        <w:br/>
        <w:t>Kodeksu karnego, przestępstwo oszustwa, o którym mowa w </w:t>
      </w:r>
      <w:hyperlink r:id="rId25">
        <w:r>
          <w:rPr>
            <w:rFonts w:eastAsia="Times New Roman" w:cs="Times New Roman" w:ascii="Times New Roman" w:hAnsi="Times New Roman"/>
            <w:sz w:val="24"/>
            <w:szCs w:val="24"/>
            <w:lang w:eastAsia="pl-PL"/>
          </w:rPr>
          <w:t>art. 286</w:t>
        </w:r>
      </w:hyperlink>
      <w:r>
        <w:rPr>
          <w:rFonts w:eastAsia="Times New Roman" w:cs="Times New Roman" w:ascii="Times New Roman" w:hAnsi="Times New Roman"/>
          <w:sz w:val="24"/>
          <w:szCs w:val="24"/>
          <w:lang w:eastAsia="pl-PL"/>
        </w:rPr>
        <w:t xml:space="preserve"> Kodeksu karnego, przestępstwo przeciwko wiarygodności dokumentów, o których mowa </w:t>
        <w:br/>
        <w:t>w </w:t>
      </w:r>
      <w:hyperlink r:id="rId26">
        <w:r>
          <w:rPr>
            <w:rFonts w:eastAsia="Times New Roman" w:cs="Times New Roman" w:ascii="Times New Roman" w:hAnsi="Times New Roman"/>
            <w:sz w:val="24"/>
            <w:szCs w:val="24"/>
            <w:lang w:eastAsia="pl-PL"/>
          </w:rPr>
          <w:t>art. 270-277d</w:t>
        </w:r>
      </w:hyperlink>
      <w:r>
        <w:rPr>
          <w:rFonts w:eastAsia="Times New Roman" w:cs="Times New Roman" w:ascii="Times New Roman" w:hAnsi="Times New Roman"/>
          <w:sz w:val="24"/>
          <w:szCs w:val="24"/>
          <w:lang w:eastAsia="pl-PL"/>
        </w:rPr>
        <w:t> Kodeksu karnego, lub przestępstwo skarbowe,</w:t>
      </w:r>
    </w:p>
    <w:p>
      <w:pPr>
        <w:pStyle w:val="ListParagraph"/>
        <w:numPr>
          <w:ilvl w:val="1"/>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 którym mowa w </w:t>
      </w:r>
      <w:hyperlink r:id="rId27">
        <w:r>
          <w:rPr>
            <w:rFonts w:eastAsia="Times New Roman" w:cs="Times New Roman" w:ascii="Times New Roman" w:hAnsi="Times New Roman"/>
            <w:sz w:val="24"/>
            <w:szCs w:val="24"/>
            <w:lang w:eastAsia="pl-PL"/>
          </w:rPr>
          <w:t>art. 9 ust. 1 i 3</w:t>
        </w:r>
      </w:hyperlink>
      <w:r>
        <w:rPr>
          <w:rFonts w:eastAsia="Times New Roman" w:cs="Times New Roman" w:ascii="Times New Roman" w:hAnsi="Times New Roman"/>
          <w:sz w:val="24"/>
          <w:szCs w:val="24"/>
          <w:lang w:eastAsia="pl-PL"/>
        </w:rPr>
        <w:t> lub </w:t>
      </w:r>
      <w:hyperlink r:id="rId28">
        <w:r>
          <w:rPr>
            <w:rFonts w:eastAsia="Times New Roman" w:cs="Times New Roman" w:ascii="Times New Roman" w:hAnsi="Times New Roman"/>
            <w:sz w:val="24"/>
            <w:szCs w:val="24"/>
            <w:lang w:eastAsia="pl-PL"/>
          </w:rPr>
          <w:t>art. 10</w:t>
        </w:r>
      </w:hyperlink>
      <w:r>
        <w:rPr>
          <w:rFonts w:eastAsia="Times New Roman" w:cs="Times New Roman" w:ascii="Times New Roman" w:hAnsi="Times New Roman"/>
          <w:sz w:val="24"/>
          <w:szCs w:val="24"/>
          <w:lang w:eastAsia="pl-PL"/>
        </w:rPr>
        <w:t xml:space="preserve"> ustawy z dnia 15 czerwca 2012 r. o skutkach powierzania wykonywania pracy cudzoziemcom przebywającym wbrew przepisom </w:t>
        <w:br/>
        <w:t xml:space="preserve">na terytorium Rzeczypospolitej Polskiej  lub za odpowiedni czyn zabroniony określony </w:t>
        <w:br/>
        <w:t>w przepisach prawa obcego;</w:t>
      </w:r>
    </w:p>
    <w:p>
      <w:pPr>
        <w:pStyle w:val="ListParagraph"/>
        <w:numPr>
          <w:ilvl w:val="0"/>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bookmarkStart w:id="1" w:name="mip64557931"/>
      <w:bookmarkEnd w:id="1"/>
      <w:r>
        <w:rPr>
          <w:rFonts w:eastAsia="Times New Roman" w:cs="Times New Roman" w:ascii="Times New Roman" w:hAnsi="Times New Roman"/>
          <w:sz w:val="24"/>
          <w:szCs w:val="24"/>
          <w:lang w:eastAsia="pl-PL"/>
        </w:rPr>
        <w:t xml:space="preserve">jeżeli urzędującego członka jego organu zarządzającego lub nadzorczego, </w:t>
        <w:br/>
        <w:t xml:space="preserve">wspólnika spółki w spółce jawnej lub partnerskiej albo komplementariusza </w:t>
        <w:br/>
        <w:t>w spółce komandytowej lub komandytowo-akcyjnej lub prokurenta prawomocnie skazano za przestępstwo, o którym mowa w pkt 1;</w:t>
      </w:r>
      <w:bookmarkStart w:id="2" w:name="mip64557932"/>
      <w:bookmarkEnd w:id="2"/>
    </w:p>
    <w:p>
      <w:pPr>
        <w:pStyle w:val="ListParagraph"/>
        <w:numPr>
          <w:ilvl w:val="0"/>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wobec którego wydano prawomocny wyrok sądu lub ostateczną decyzję </w:t>
        <w:br/>
        <w:t xml:space="preserve">administracyjną o zaleganiu z uiszczeniem podatków, opłat lub składek na ubezpieczenie społeczne lub zdrowotne, chyba że wykonawca odpowiednio przed upływem terminu </w:t>
        <w:br/>
        <w:t xml:space="preserve">do składania wniosków o dopuszczenie do udziału w postępowaniu albo przed upływem terminu składania ofert dokonał płatności należnych podatków, opłat lub składek na </w:t>
        <w:br/>
        <w:t xml:space="preserve">ubezpieczenie społeczne lub zdrowotne wraz z odsetkami lub grzywnami lub zawarł </w:t>
        <w:br/>
        <w:t>wiążące porozumienie w sprawie spłaty tych należności;</w:t>
      </w:r>
      <w:bookmarkStart w:id="3" w:name="mip64557933"/>
      <w:bookmarkEnd w:id="3"/>
    </w:p>
    <w:p>
      <w:pPr>
        <w:pStyle w:val="ListParagraph"/>
        <w:numPr>
          <w:ilvl w:val="0"/>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wobec którego prawomocnie orzeczono zakaz ubiegania się o zamówienia publiczne;</w:t>
      </w:r>
      <w:bookmarkStart w:id="4" w:name="mip64557934"/>
      <w:bookmarkEnd w:id="4"/>
    </w:p>
    <w:p>
      <w:pPr>
        <w:pStyle w:val="ListParagraph"/>
        <w:numPr>
          <w:ilvl w:val="0"/>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jeżeli zamawiający może stwierdzić, na podstawie wiarygodnych przesłanek, </w:t>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5" w:name="mip64557935"/>
      <w:bookmarkEnd w:id="5"/>
    </w:p>
    <w:p>
      <w:pPr>
        <w:pStyle w:val="ListParagraph"/>
        <w:numPr>
          <w:ilvl w:val="0"/>
          <w:numId w:val="3"/>
        </w:numPr>
        <w:shd w:val="clear" w:color="auto" w:fill="FFFFFF"/>
        <w:suppressAutoHyphens w:val="false"/>
        <w:spacing w:lineRule="auto" w:line="240" w:before="0"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jeżeli, w przypadkach, o których mowa w </w:t>
      </w:r>
      <w:hyperlink r:id="rId29">
        <w:r>
          <w:rPr>
            <w:rFonts w:eastAsia="Times New Roman" w:cs="Times New Roman" w:ascii="Times New Roman" w:hAnsi="Times New Roman"/>
            <w:sz w:val="24"/>
            <w:szCs w:val="24"/>
            <w:lang w:eastAsia="pl-PL"/>
          </w:rPr>
          <w:t>art. 85 ust. 1</w:t>
        </w:r>
      </w:hyperlink>
      <w:r>
        <w:rPr>
          <w:rFonts w:eastAsia="Times New Roman" w:cs="Times New Roman" w:ascii="Times New Roman" w:hAnsi="Times New Roman"/>
          <w:sz w:val="24"/>
          <w:szCs w:val="24"/>
          <w:lang w:eastAsia="pl-PL"/>
        </w:rPr>
        <w:t xml:space="preserve">, doszło do zakłócenia konkurencji wynikającego z wcześniejszego zaangażowania tego wykonawcy lub podmiotu, który </w:t>
        <w:br/>
        <w:t>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ListParagraph"/>
        <w:numPr>
          <w:ilvl w:val="0"/>
          <w:numId w:val="4"/>
        </w:numPr>
        <w:shd w:val="clear" w:color="auto" w:fill="FFFFFF"/>
        <w:spacing w:lineRule="auto" w:line="240" w:before="105"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Wykonawca nie podlega wykluczeniu w okolicznościach określonych w art. 108 ust. 1 pkt 1, 2 i 5, jeżeli udowodni zamawiającemu, że spełnił łącznie następujące przesłanki:</w:t>
      </w:r>
      <w:bookmarkStart w:id="6" w:name="mip64557956"/>
      <w:bookmarkEnd w:id="6"/>
      <w:r>
        <w:rPr>
          <w:rFonts w:eastAsia="Times New Roman" w:cs="Times New Roman" w:ascii="Times New Roman" w:hAnsi="Times New Roman"/>
          <w:sz w:val="24"/>
          <w:szCs w:val="24"/>
          <w:lang w:eastAsia="pl-PL"/>
        </w:rPr>
        <w:t xml:space="preserve"> </w:t>
      </w:r>
    </w:p>
    <w:p>
      <w:pPr>
        <w:pStyle w:val="ListParagraph"/>
        <w:numPr>
          <w:ilvl w:val="0"/>
          <w:numId w:val="5"/>
        </w:numPr>
        <w:shd w:val="clear" w:color="auto" w:fill="FFFFFF"/>
        <w:spacing w:lineRule="auto" w:line="240" w:before="105"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naprawił lub zobowiązał się do naprawienia szkody wyrządzonej przestępstwem, wykroczeniem lub swoim nieprawidłowym postępowaniem, w tym poprzez zadośćuczynienie pieniężne;</w:t>
      </w:r>
      <w:bookmarkStart w:id="7" w:name="mip64557957"/>
      <w:bookmarkEnd w:id="7"/>
    </w:p>
    <w:p>
      <w:pPr>
        <w:pStyle w:val="ListParagraph"/>
        <w:numPr>
          <w:ilvl w:val="0"/>
          <w:numId w:val="5"/>
        </w:numPr>
        <w:shd w:val="clear" w:color="auto" w:fill="FFFFFF"/>
        <w:spacing w:lineRule="auto" w:line="240" w:before="105"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8" w:name="mip64557958"/>
      <w:bookmarkEnd w:id="8"/>
    </w:p>
    <w:p>
      <w:pPr>
        <w:pStyle w:val="ListParagraph"/>
        <w:numPr>
          <w:ilvl w:val="0"/>
          <w:numId w:val="5"/>
        </w:numPr>
        <w:shd w:val="clear" w:color="auto" w:fill="FFFFFF"/>
        <w:spacing w:lineRule="auto" w:line="240" w:before="105"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podjął konkretne środki techniczne, organizacyjne i kadrowe, odpowiednie dla zapobiegania dalszym przestępstwom, wykroczeniom lub nieprawidłowemu postępowaniu, w szczególności: </w:t>
      </w:r>
    </w:p>
    <w:p>
      <w:pPr>
        <w:pStyle w:val="ListParagraph"/>
        <w:numPr>
          <w:ilvl w:val="1"/>
          <w:numId w:val="5"/>
        </w:numPr>
        <w:shd w:val="clear" w:color="auto" w:fill="FFFFFF"/>
        <w:spacing w:lineRule="auto" w:line="240" w:before="105"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zerwał wszelkie powiązania z osobami lub podmiotami odpowiedzialnymi za nieprawidłowe postępowanie wykonawcy, </w:t>
      </w:r>
    </w:p>
    <w:p>
      <w:pPr>
        <w:pStyle w:val="ListParagraph"/>
        <w:numPr>
          <w:ilvl w:val="1"/>
          <w:numId w:val="5"/>
        </w:numPr>
        <w:shd w:val="clear" w:color="auto" w:fill="FFFFFF"/>
        <w:spacing w:lineRule="auto" w:line="240" w:before="105"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zreorganizował personel, </w:t>
      </w:r>
    </w:p>
    <w:p>
      <w:pPr>
        <w:pStyle w:val="ListParagraph"/>
        <w:numPr>
          <w:ilvl w:val="1"/>
          <w:numId w:val="5"/>
        </w:numPr>
        <w:shd w:val="clear" w:color="auto" w:fill="FFFFFF"/>
        <w:spacing w:lineRule="auto" w:line="240" w:before="105"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wdrożył system sprawozdawczości i kontroli,</w:t>
      </w:r>
    </w:p>
    <w:p>
      <w:pPr>
        <w:pStyle w:val="ListParagraph"/>
        <w:numPr>
          <w:ilvl w:val="1"/>
          <w:numId w:val="5"/>
        </w:numPr>
        <w:shd w:val="clear" w:color="auto" w:fill="FFFFFF"/>
        <w:spacing w:lineRule="auto" w:line="240" w:before="105"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utworzył struktury audytu wewnętrznego do monitorowania przestrzegania przepisów, wewnętrznych regulacji lub standardów,</w:t>
      </w:r>
    </w:p>
    <w:p>
      <w:pPr>
        <w:pStyle w:val="ListParagraph"/>
        <w:numPr>
          <w:ilvl w:val="1"/>
          <w:numId w:val="5"/>
        </w:numPr>
        <w:shd w:val="clear" w:color="auto" w:fill="FFFFFF"/>
        <w:spacing w:lineRule="auto" w:line="240" w:before="105" w:after="0"/>
        <w:ind w:left="284" w:hanging="284"/>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wprowadził wewnętrzne regulacje dotyczące odpowiedzialności i odszkodowań </w:t>
        <w:br/>
        <w:t>za nieprzestrzeganie przepisów, wewnętrznych regulacji lub standardów.</w:t>
      </w:r>
      <w:bookmarkStart w:id="9" w:name="mip64557959"/>
      <w:bookmarkEnd w:id="9"/>
      <w:r>
        <w:rPr>
          <w:rFonts w:eastAsia="Times New Roman" w:cs="Times New Roman" w:ascii="Times New Roman" w:hAnsi="Times New Roman"/>
          <w:sz w:val="24"/>
          <w:szCs w:val="24"/>
          <w:lang w:eastAsia="pl-PL"/>
        </w:rPr>
        <w:t xml:space="preserve"> </w:t>
      </w:r>
    </w:p>
    <w:p>
      <w:pPr>
        <w:pStyle w:val="ListParagraph"/>
        <w:numPr>
          <w:ilvl w:val="0"/>
          <w:numId w:val="4"/>
        </w:numPr>
        <w:shd w:val="clear" w:color="auto" w:fill="FFFFFF"/>
        <w:spacing w:lineRule="auto" w:line="240" w:before="105" w:after="0"/>
        <w:ind w:left="284" w:hanging="284"/>
        <w:contextualSpacing/>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sz w:val="24"/>
          <w:szCs w:val="24"/>
          <w:lang w:eastAsia="pl-PL"/>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 </w:t>
      </w:r>
    </w:p>
    <w:p>
      <w:pPr>
        <w:pStyle w:val="ListParagraph"/>
        <w:numPr>
          <w:ilvl w:val="0"/>
          <w:numId w:val="4"/>
        </w:numPr>
        <w:shd w:val="clear" w:color="auto" w:fill="FFFFFF"/>
        <w:spacing w:lineRule="auto" w:line="240" w:before="105" w:after="0"/>
        <w:ind w:left="284" w:hanging="284"/>
        <w:contextualSpacing/>
        <w:jc w:val="both"/>
        <w:rPr>
          <w:rFonts w:ascii="Times New Roman" w:hAnsi="Times New Roman" w:eastAsia="Times New Roman" w:cs="Times New Roman"/>
          <w:b/>
          <w:b/>
          <w:bCs/>
          <w:sz w:val="24"/>
          <w:szCs w:val="24"/>
          <w:lang w:eastAsia="pl-PL"/>
        </w:rPr>
      </w:pPr>
      <w:r>
        <w:rPr>
          <w:rFonts w:cs="Times New Roman" w:ascii="Times New Roman" w:hAnsi="Times New Roman"/>
          <w:bCs/>
          <w:color w:val="000000" w:themeColor="text1"/>
        </w:rPr>
        <w:t xml:space="preserve">Z udziału w niniejszym postępowaniu wyklucza się  również wykonawców, którzy podlegają wykluczeniu na podstawie art.7 ust. 1 - Ustawy z 13 kwietnia 2022 r. o szczególnych rozwiązaniach w zakresie przeciwdziałania wspieraniu agresji na Ukrainę oraz służących ochronie bezpieczeństwa narodowego (Dz.U. z 2023 r. poz. 129 t.j.)  </w:t>
      </w:r>
    </w:p>
    <w:p>
      <w:pPr>
        <w:pStyle w:val="ListParagraph"/>
        <w:numPr>
          <w:ilvl w:val="0"/>
          <w:numId w:val="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Zamawiający może wykluczyć Wykonawcę na każdym etapie postępowania o udzielenie zamówienia.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Sposób obliczenia ceny</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Cena oferty uwzględnia wszystkie zobowiązania Musi być podana w PLN cyfrowo </w:t>
        <w:br/>
        <w:t>i słownie, z wyodrębnieniem należnego podatku VAT - jeżeli występuje.</w:t>
      </w:r>
    </w:p>
    <w:p>
      <w:pPr>
        <w:pStyle w:val="ListParagraph"/>
        <w:numPr>
          <w:ilvl w:val="0"/>
          <w:numId w:val="1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Cena podana w ofercie winna obejmować wszystkie koszty i składniki związane </w:t>
        <w:br/>
        <w:t xml:space="preserve">z wykonaniem zamówienia oraz warunkami stawianymi przez zamawiającego. </w:t>
      </w:r>
    </w:p>
    <w:p>
      <w:pPr>
        <w:pStyle w:val="ListParagraph"/>
        <w:numPr>
          <w:ilvl w:val="0"/>
          <w:numId w:val="1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Cena może być tylko jedna za oferowany przedmiot zamówienia, nie dopuszcza się wariantowości cen.</w:t>
      </w:r>
    </w:p>
    <w:p>
      <w:pPr>
        <w:pStyle w:val="ListParagraph"/>
        <w:numPr>
          <w:ilvl w:val="0"/>
          <w:numId w:val="1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Cena nie ulega zmianie przez okres ważności oferty (związania ofertą).</w:t>
      </w:r>
    </w:p>
    <w:p>
      <w:pPr>
        <w:pStyle w:val="ListParagraph"/>
        <w:numPr>
          <w:ilvl w:val="0"/>
          <w:numId w:val="1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Cenę za wykonanie przedmiotu zamówienia należy przedstawić w "Formularzu ofertowym" stanowiącym załącznik do niniejszej specyfikacji warunków zamówienia. </w:t>
      </w:r>
    </w:p>
    <w:p>
      <w:pPr>
        <w:pStyle w:val="ListParagraph"/>
        <w:numPr>
          <w:ilvl w:val="0"/>
          <w:numId w:val="19"/>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Cenę za wykonanie przedmiotu zamówienia należy wyliczyć w "Formularzu cenowym" stanowiącym załącznik do niniejszej specyfikacji warunków zamówienia, a następnie tak obliczoną cenę przenieść do "Formularza ofertowego".</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Opis kryteriów oceny ofert, wraz z podaniem wag tych kryteriów i sposobu oceny ofert</w:t>
      </w:r>
    </w:p>
    <w:p>
      <w:pPr>
        <w:pStyle w:val="Normal"/>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3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Kryteria oceny ofert - zamawiający uzna oferty za spełniające wymagania i przyjmie </w:t>
        <w:br/>
        <w:t>do szczegółowego rozpatrywania, jeżeli:</w:t>
      </w:r>
    </w:p>
    <w:p>
      <w:pPr>
        <w:pStyle w:val="ListParagraph"/>
        <w:numPr>
          <w:ilvl w:val="0"/>
          <w:numId w:val="35"/>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oferta, spełnia wymagania określone niniejszą specyfikacją,</w:t>
      </w:r>
    </w:p>
    <w:p>
      <w:pPr>
        <w:pStyle w:val="ListParagraph"/>
        <w:numPr>
          <w:ilvl w:val="0"/>
          <w:numId w:val="35"/>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oferta została złożona, w określonym przez zamawiającego terminie,</w:t>
      </w:r>
    </w:p>
    <w:p>
      <w:pPr>
        <w:pStyle w:val="ListParagraph"/>
        <w:numPr>
          <w:ilvl w:val="0"/>
          <w:numId w:val="35"/>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wykonawca przedstawił ofertę zgodną co do treści z wymaganiami zamawiającego.</w:t>
      </w:r>
    </w:p>
    <w:p>
      <w:pPr>
        <w:pStyle w:val="ListParagraph"/>
        <w:numPr>
          <w:ilvl w:val="0"/>
          <w:numId w:val="3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Kryteria oceny ofert - stosowanie matematycznych obliczeń przy ocenie ofert, stanowi podstawową zasadę oceny ofert, które oceniane będą w odniesieniu do najkorzystniejszych warunków przedstawionych przez wykonawców w zakresie  kryterium.</w:t>
      </w:r>
    </w:p>
    <w:p>
      <w:pPr>
        <w:pStyle w:val="ListParagraph"/>
        <w:numPr>
          <w:ilvl w:val="0"/>
          <w:numId w:val="3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pPr>
        <w:pStyle w:val="ListParagraph"/>
        <w:numPr>
          <w:ilvl w:val="0"/>
          <w:numId w:val="3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Wybór oferty zostanie dokonany w oparciu o przyjęte w niniejszym postępowaniu kryteria oceny ofert przedstawione poniżej.  </w:t>
      </w:r>
    </w:p>
    <w:p>
      <w:pPr>
        <w:pStyle w:val="ListParagraph"/>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426" w:leader="none"/>
        </w:tabs>
        <w:spacing w:lineRule="auto" w:line="240" w:before="0" w:after="0"/>
        <w:ind w:left="284" w:hanging="284"/>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Nazwa kryterium</w:t>
        <w:tab/>
        <w:tab/>
        <w:tab/>
        <w:t xml:space="preserve">                                 Waga kryterium </w:t>
      </w:r>
    </w:p>
    <w:p>
      <w:pPr>
        <w:pStyle w:val="Wcicietrecitekstu"/>
        <w:ind w:left="284" w:hanging="284"/>
        <w:rPr>
          <w:rFonts w:eastAsia="Calibri"/>
          <w:szCs w:val="24"/>
        </w:rPr>
      </w:pPr>
      <w:r>
        <w:rPr>
          <w:rFonts w:eastAsia="Calibri"/>
          <w:szCs w:val="24"/>
        </w:rPr>
        <w:t xml:space="preserve">       </w:t>
      </w:r>
      <w:r>
        <w:rPr>
          <w:rFonts w:eastAsia="Calibri"/>
          <w:szCs w:val="24"/>
        </w:rPr>
        <w:t>1 - cena</w:t>
        <w:tab/>
        <w:t xml:space="preserve">                                                </w:t>
        <w:tab/>
        <w:t xml:space="preserve">                       </w:t>
        <w:tab/>
        <w:t>-  60 %</w:t>
        <w:tab/>
        <w:t xml:space="preserve"> </w:t>
        <w:br/>
        <w:t xml:space="preserve">  3 - termin realizacji</w:t>
        <w:tab/>
        <w:tab/>
        <w:tab/>
        <w:t xml:space="preserve">                       </w:t>
        <w:tab/>
        <w:tab/>
        <w:t>-  40 %</w:t>
      </w:r>
    </w:p>
    <w:p>
      <w:pPr>
        <w:pStyle w:val="Normal"/>
        <w:spacing w:lineRule="auto" w:line="240" w:before="0" w:after="0"/>
        <w:ind w:left="284" w:hanging="284"/>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6"/>
        </w:numPr>
        <w:spacing w:lineRule="auto" w:line="240" w:before="0" w:after="0"/>
        <w:ind w:left="284" w:hanging="284"/>
        <w:contextualSpacing/>
        <w:rPr>
          <w:rFonts w:ascii="Times New Roman" w:hAnsi="Times New Roman" w:cs="Times New Roman"/>
          <w:sz w:val="24"/>
          <w:szCs w:val="24"/>
        </w:rPr>
      </w:pPr>
      <w:r>
        <w:rPr>
          <w:rFonts w:cs="Times New Roman" w:ascii="Times New Roman" w:hAnsi="Times New Roman"/>
          <w:sz w:val="24"/>
          <w:szCs w:val="24"/>
        </w:rPr>
        <w:t>Postanowienia dot. kryterium „cena (C)”</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Szczegółowy wzór (opis): </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W kryterium „cena” ocena ofert, niepodlegających odrzuceniu, zostanie dokonana przy zastosowaniu wzoru:                                                                    </w:t>
      </w:r>
    </w:p>
    <w:p>
      <w:pPr>
        <w:pStyle w:val="PlainText"/>
        <w:tabs>
          <w:tab w:val="clear" w:pos="708"/>
          <w:tab w:val="left" w:pos="720" w:leader="none"/>
        </w:tabs>
        <w:ind w:left="284" w:hanging="284"/>
        <w:rPr>
          <w:rFonts w:ascii="Times New Roman" w:hAnsi="Times New Roman" w:eastAsia="Calibri" w:cs="Times New Roman"/>
          <w:sz w:val="24"/>
          <w:szCs w:val="24"/>
          <w:lang w:eastAsia="en-US"/>
        </w:rPr>
      </w:pPr>
      <w:r>
        <w:rPr>
          <w:rFonts w:eastAsia="Calibri" w:cs="Times New Roman" w:eastAsiaTheme="minorHAnsi" w:ascii="Times New Roman" w:hAnsi="Times New Roman"/>
          <w:sz w:val="24"/>
          <w:szCs w:val="24"/>
          <w:lang w:eastAsia="en-US"/>
        </w:rPr>
      </w:r>
    </w:p>
    <w:p>
      <w:pPr>
        <w:pStyle w:val="PlainText"/>
        <w:tabs>
          <w:tab w:val="clear" w:pos="708"/>
          <w:tab w:val="left" w:pos="720" w:leader="none"/>
        </w:tabs>
        <w:ind w:left="284" w:hanging="284"/>
        <w:rPr>
          <w:rFonts w:ascii="Times New Roman" w:hAnsi="Times New Roman" w:eastAsia="Calibri" w:cs="Times New Roman"/>
          <w:sz w:val="24"/>
          <w:szCs w:val="24"/>
          <w:lang w:eastAsia="en-US"/>
        </w:rPr>
      </w:pPr>
      <w:r>
        <w:rPr>
          <w:rFonts w:eastAsia="Calibri" w:cs="Times New Roman" w:ascii="Times New Roman" w:hAnsi="Times New Roman" w:eastAsiaTheme="minorHAnsi"/>
          <w:sz w:val="24"/>
          <w:szCs w:val="24"/>
          <w:lang w:eastAsia="en-US"/>
        </w:rPr>
        <w:tab/>
        <w:t xml:space="preserve">C = (C min/C o) x 60 pkt </w:t>
        <w:tab/>
        <w:tab/>
        <w:t>gdzie:</w:t>
      </w:r>
    </w:p>
    <w:p>
      <w:pPr>
        <w:pStyle w:val="PlainText"/>
        <w:tabs>
          <w:tab w:val="clear" w:pos="708"/>
          <w:tab w:val="left" w:pos="720" w:leader="none"/>
        </w:tabs>
        <w:ind w:left="284" w:hanging="284"/>
        <w:rPr>
          <w:rFonts w:ascii="Times New Roman" w:hAnsi="Times New Roman" w:eastAsia="Calibri"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C min- najniższa cena brutto z ocenianych ofert (zł)</w:t>
        <w:br/>
        <w:t>C o - cena brutto określona w ocenianej ofercie (zł)</w:t>
        <w:br/>
      </w:r>
      <w:r>
        <w:rPr>
          <w:rFonts w:eastAsia="Calibri" w:cs="Times New Roman" w:ascii="Times New Roman" w:hAnsi="Times New Roman" w:eastAsiaTheme="minorHAnsi"/>
          <w:sz w:val="24"/>
          <w:szCs w:val="24"/>
        </w:rPr>
        <w:t>Oferta z najniższą ceną otrzyma 60 punktów.</w:t>
      </w:r>
    </w:p>
    <w:p>
      <w:pPr>
        <w:pStyle w:val="PlainText"/>
        <w:tabs>
          <w:tab w:val="clear" w:pos="708"/>
          <w:tab w:val="left" w:pos="720" w:leader="none"/>
        </w:tabs>
        <w:ind w:left="284" w:hanging="284"/>
        <w:rPr>
          <w:rFonts w:ascii="Times New Roman" w:hAnsi="Times New Roman" w:eastAsia="Calibri" w:cs="Times New Roman"/>
          <w:sz w:val="24"/>
          <w:szCs w:val="24"/>
        </w:rPr>
      </w:pPr>
      <w:r>
        <w:rPr>
          <w:rFonts w:eastAsia="Calibri" w:cs="Times New Roman" w:eastAsiaTheme="minorHAnsi" w:ascii="Times New Roman" w:hAnsi="Times New Roman"/>
          <w:sz w:val="24"/>
          <w:szCs w:val="24"/>
        </w:rPr>
      </w:r>
    </w:p>
    <w:p>
      <w:pPr>
        <w:pStyle w:val="Wcicietrecitekstu"/>
        <w:numPr>
          <w:ilvl w:val="0"/>
          <w:numId w:val="36"/>
        </w:numPr>
        <w:ind w:left="284" w:hanging="284"/>
        <w:rPr>
          <w:rFonts w:eastAsia="Calibri"/>
          <w:szCs w:val="24"/>
        </w:rPr>
      </w:pPr>
      <w:r>
        <w:rPr>
          <w:rFonts w:eastAsia="Calibri"/>
          <w:szCs w:val="24"/>
        </w:rPr>
        <w:t>Postanowienia dotyczące kryterium „termin realizacji (Tr)”</w:t>
      </w:r>
    </w:p>
    <w:p>
      <w:pPr>
        <w:pStyle w:val="Wcicietrecitekstu"/>
        <w:ind w:left="284" w:hanging="284"/>
        <w:rPr>
          <w:rFonts w:eastAsia="Calibri"/>
          <w:szCs w:val="24"/>
        </w:rPr>
      </w:pPr>
      <w:r>
        <w:rPr>
          <w:rFonts w:eastAsia="Calibri"/>
          <w:szCs w:val="24"/>
        </w:rPr>
      </w:r>
    </w:p>
    <w:p>
      <w:pPr>
        <w:pStyle w:val="Wcicietrecitekstu"/>
        <w:ind w:left="284" w:hanging="284"/>
        <w:jc w:val="both"/>
        <w:rPr>
          <w:rFonts w:eastAsia="Calibri"/>
          <w:szCs w:val="24"/>
        </w:rPr>
      </w:pPr>
      <w:r>
        <w:rPr>
          <w:rFonts w:eastAsia="Calibri"/>
          <w:szCs w:val="24"/>
        </w:rPr>
        <w:t xml:space="preserve">Liczba punktów w kryterium termin realizacji zostanie przyznana w oparciu o zadeklarowany przez Wykonawcę termin wykonania  dostawy częściowej  od dnia złożenia zamówienia. </w:t>
      </w:r>
    </w:p>
    <w:p>
      <w:pPr>
        <w:pStyle w:val="Wcicietrecitekstu"/>
        <w:ind w:left="284" w:hanging="284"/>
        <w:jc w:val="both"/>
        <w:rPr>
          <w:rFonts w:eastAsia="Calibri"/>
          <w:szCs w:val="24"/>
        </w:rPr>
      </w:pPr>
      <w:r>
        <w:rPr>
          <w:rFonts w:eastAsia="Calibri"/>
          <w:szCs w:val="24"/>
        </w:rPr>
      </w:r>
    </w:p>
    <w:p>
      <w:pPr>
        <w:pStyle w:val="Wcicietrecitekstu"/>
        <w:ind w:left="284" w:hanging="284"/>
        <w:jc w:val="both"/>
        <w:rPr>
          <w:rFonts w:eastAsia="Calibri"/>
          <w:szCs w:val="24"/>
        </w:rPr>
      </w:pPr>
      <w:r>
        <w:rPr>
          <w:rFonts w:eastAsia="Calibri"/>
          <w:szCs w:val="24"/>
        </w:rPr>
        <w:t>Wykonawca może zadeklarować termin wykonania dostawy w następującym przedziale dni:</w:t>
      </w:r>
    </w:p>
    <w:p>
      <w:pPr>
        <w:pStyle w:val="Wcicietrecitekstu"/>
        <w:numPr>
          <w:ilvl w:val="1"/>
          <w:numId w:val="25"/>
        </w:numPr>
        <w:ind w:left="284" w:hanging="284"/>
        <w:rPr>
          <w:rFonts w:eastAsia="Calibri"/>
          <w:szCs w:val="24"/>
        </w:rPr>
      </w:pPr>
      <w:r>
        <w:rPr>
          <w:rFonts w:eastAsia="Calibri"/>
          <w:szCs w:val="24"/>
        </w:rPr>
        <w:t>w ciągu 3 dni roboczych po dniu złożenia zamówienia – oferta otrzyma – 40 pkt</w:t>
      </w:r>
    </w:p>
    <w:p>
      <w:pPr>
        <w:pStyle w:val="Wcicietrecitekstu"/>
        <w:numPr>
          <w:ilvl w:val="1"/>
          <w:numId w:val="25"/>
        </w:numPr>
        <w:ind w:left="284" w:hanging="284"/>
        <w:rPr>
          <w:rFonts w:eastAsia="Calibri"/>
          <w:szCs w:val="24"/>
        </w:rPr>
      </w:pPr>
      <w:r>
        <w:rPr>
          <w:rFonts w:eastAsia="Calibri"/>
          <w:szCs w:val="24"/>
        </w:rPr>
        <w:t>w ciągu 4 dni roboczych po dniu złożenia zamówienia – oferta otrzyma – 20 pkt</w:t>
      </w:r>
    </w:p>
    <w:p>
      <w:pPr>
        <w:pStyle w:val="Wcicietrecitekstu"/>
        <w:numPr>
          <w:ilvl w:val="1"/>
          <w:numId w:val="25"/>
        </w:numPr>
        <w:ind w:left="284" w:hanging="284"/>
        <w:rPr>
          <w:rFonts w:eastAsia="Calibri"/>
          <w:szCs w:val="24"/>
        </w:rPr>
      </w:pPr>
      <w:r>
        <w:rPr>
          <w:rFonts w:eastAsia="Calibri"/>
          <w:szCs w:val="24"/>
        </w:rPr>
        <w:t>w ciągu 5 dni roboczych po dniu złożenia zamówienia – oferta otrzyma – 10 pkt</w:t>
      </w:r>
    </w:p>
    <w:p>
      <w:pPr>
        <w:pStyle w:val="Wcicietrecitekstu"/>
        <w:numPr>
          <w:ilvl w:val="1"/>
          <w:numId w:val="25"/>
        </w:numPr>
        <w:ind w:left="284" w:hanging="284"/>
        <w:rPr>
          <w:rFonts w:eastAsia="Calibri"/>
          <w:szCs w:val="24"/>
        </w:rPr>
      </w:pPr>
      <w:r>
        <w:rPr>
          <w:rFonts w:eastAsia="Calibri"/>
          <w:szCs w:val="24"/>
        </w:rPr>
        <w:t>powyżej 5 dni roboczych po dniu złożenia zamówienia – oferta otrzyma – 0 pkt</w:t>
      </w:r>
    </w:p>
    <w:p>
      <w:pPr>
        <w:pStyle w:val="Wcicietrecitekstu"/>
        <w:ind w:left="284" w:hanging="284"/>
        <w:rPr>
          <w:rFonts w:eastAsia="Calibri"/>
          <w:szCs w:val="24"/>
        </w:rPr>
      </w:pPr>
      <w:r>
        <w:rPr>
          <w:rFonts w:eastAsia="Calibri"/>
          <w:szCs w:val="24"/>
        </w:rPr>
      </w:r>
    </w:p>
    <w:p>
      <w:pPr>
        <w:pStyle w:val="Wcicietrecitekstu"/>
        <w:numPr>
          <w:ilvl w:val="0"/>
          <w:numId w:val="36"/>
        </w:numPr>
        <w:ind w:left="284" w:hanging="284"/>
        <w:rPr>
          <w:rFonts w:eastAsia="Calibri"/>
          <w:szCs w:val="24"/>
        </w:rPr>
      </w:pPr>
      <w:r>
        <w:rPr>
          <w:rFonts w:eastAsia="Calibri"/>
          <w:szCs w:val="24"/>
        </w:rPr>
        <w:t xml:space="preserve">Łączna ilość pkt. = 100   </w:t>
        <w:tab/>
        <w:tab/>
        <w:t xml:space="preserve">    wg wzoru:</w:t>
        <w:tab/>
        <w:t xml:space="preserve">C+Tr = S </w:t>
        <w:tab/>
        <w:tab/>
      </w:r>
    </w:p>
    <w:p>
      <w:pPr>
        <w:pStyle w:val="Wcicietrecitekstu"/>
        <w:ind w:left="284" w:hanging="284"/>
        <w:rPr>
          <w:rFonts w:eastAsia="Calibri"/>
          <w:szCs w:val="24"/>
        </w:rPr>
      </w:pPr>
      <w:r>
        <w:rPr>
          <w:rFonts w:eastAsia="Calibri"/>
          <w:szCs w:val="24"/>
        </w:rPr>
        <w:t>gdzie:</w:t>
      </w:r>
    </w:p>
    <w:p>
      <w:pPr>
        <w:pStyle w:val="ListParagraph"/>
        <w:widowControl w:val="false"/>
        <w:tabs>
          <w:tab w:val="clear" w:pos="708"/>
          <w:tab w:val="left" w:pos="426" w:leader="none"/>
        </w:tabs>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C   –  ilość pkt za cenę </w:t>
      </w:r>
    </w:p>
    <w:p>
      <w:pPr>
        <w:pStyle w:val="ListParagraph"/>
        <w:widowControl w:val="false"/>
        <w:tabs>
          <w:tab w:val="clear" w:pos="708"/>
          <w:tab w:val="left" w:pos="426" w:leader="none"/>
        </w:tabs>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Tr –  ilość pkt za termin realizacji</w:t>
      </w:r>
    </w:p>
    <w:p>
      <w:pPr>
        <w:pStyle w:val="ListParagraph"/>
        <w:widowControl w:val="false"/>
        <w:tabs>
          <w:tab w:val="clear" w:pos="708"/>
          <w:tab w:val="left" w:pos="426" w:leader="none"/>
        </w:tabs>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S  – suma punktów</w:t>
      </w:r>
    </w:p>
    <w:p>
      <w:pPr>
        <w:pStyle w:val="ListParagraph"/>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pPr>
        <w:pStyle w:val="ListParagraph"/>
        <w:numPr>
          <w:ilvl w:val="0"/>
          <w:numId w:val="3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Wynik – oferta, która przedstawia najkorzystniejszy bilans (maksymalna liczba przyznanych punktów w oparciu o ustalone kryteria) zostanie oceniona jako najkorzystniejsza, pozostałe oferty zostaną sklasyfikowane zgodnie z ilością uzyskanych punktów. Realizacja zamówienia zostanie powierzona wykonawcy, którego oferta uzyska najwyższą ilość punktów.</w:t>
      </w:r>
    </w:p>
    <w:p>
      <w:pPr>
        <w:pStyle w:val="ListParagraph"/>
        <w:numPr>
          <w:ilvl w:val="0"/>
          <w:numId w:val="3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dla potrzeb oceny oferty, której wybór prowadziłby do powstania </w:t>
        <w:br/>
        <w:t>u zamawiającego obowiązku podatkowego zgodnie z przepisami o podatku od towarów i usług, doliczy do przedstawionej w niej ceny podatek od towarów i usług, który miałby obowiązek rozliczyć zgodnie z tymi przepisami.</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formalnościach, jakie muszą zostać dopełnione po wyborze oferty w celu zawarcia umowy w sprawie zamówienia publicznego</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1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podpisze umowę z Wykonawcą, który przedłoży najkorzystniejszą ofertę. </w:t>
      </w:r>
    </w:p>
    <w:p>
      <w:pPr>
        <w:pStyle w:val="ListParagraph"/>
        <w:numPr>
          <w:ilvl w:val="0"/>
          <w:numId w:val="1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niezwłocznie poinformuje wszystkich Wykonawców o wyborze najkorzystniejszej oferty, podając w szczególności: </w:t>
      </w:r>
    </w:p>
    <w:p>
      <w:pPr>
        <w:pStyle w:val="ListParagraph"/>
        <w:numPr>
          <w:ilvl w:val="1"/>
          <w:numId w:val="3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pPr>
        <w:pStyle w:val="ListParagraph"/>
        <w:numPr>
          <w:ilvl w:val="1"/>
          <w:numId w:val="3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informację o wykonawcach, których oferty zostały odrzucone.</w:t>
      </w:r>
    </w:p>
    <w:p>
      <w:pPr>
        <w:pStyle w:val="ListParagraph"/>
        <w:numPr>
          <w:ilvl w:val="0"/>
          <w:numId w:val="1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Zawiadomienie o wyborze najkorzystniejszej oferty zawierać będzie uzasadnienie faktyczne i prawne oraz zamieszczone zostanie na stronie internetowej zamawiającego - Strona http:  /zoz-konskie.bip.org.pl/</w:t>
      </w:r>
    </w:p>
    <w:p>
      <w:pPr>
        <w:pStyle w:val="ListParagraph"/>
        <w:numPr>
          <w:ilvl w:val="0"/>
          <w:numId w:val="17"/>
        </w:numPr>
        <w:spacing w:lineRule="auto" w:line="240" w:before="0" w:after="0"/>
        <w:ind w:left="284" w:hanging="284"/>
        <w:contextualSpacing/>
        <w:rPr>
          <w:rFonts w:ascii="Times New Roman" w:hAnsi="Times New Roman" w:cs="Times New Roman"/>
          <w:sz w:val="24"/>
          <w:szCs w:val="24"/>
        </w:rPr>
      </w:pPr>
      <w:r>
        <w:rPr>
          <w:rFonts w:cs="Times New Roman" w:ascii="Times New Roman" w:hAnsi="Times New Roman"/>
          <w:sz w:val="24"/>
          <w:szCs w:val="24"/>
        </w:rPr>
        <w:t xml:space="preserve">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zamawiającego – http:  /zoz-konskie.bip.org.pl/ </w:t>
      </w:r>
    </w:p>
    <w:p>
      <w:pPr>
        <w:pStyle w:val="ListParagraph"/>
        <w:numPr>
          <w:ilvl w:val="0"/>
          <w:numId w:val="1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unieważnienia postępowania o udzielenie zamówienia, Zamawiający </w:t>
        <w:br/>
        <w:t xml:space="preserve">na wniosek Wykonawcy, który ubiegał się o udzielenie zamówienia, zawiadomi </w:t>
        <w:br/>
        <w:t>o wszczęciu kolejnego postępowania, które dotyczy tego samego przedmiotu zamówienia lub obejmuje ten sam przedmiot zamówienia.</w:t>
      </w:r>
    </w:p>
    <w:p>
      <w:pPr>
        <w:pStyle w:val="ListParagraph"/>
        <w:numPr>
          <w:ilvl w:val="0"/>
          <w:numId w:val="1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Umowa zostanie zawarta w formie pisemnej w terminie nie krótszym niż:</w:t>
      </w:r>
    </w:p>
    <w:p>
      <w:pPr>
        <w:pStyle w:val="ListParagraph"/>
        <w:numPr>
          <w:ilvl w:val="0"/>
          <w:numId w:val="18"/>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5 dni od dnia przesłania zawiadomienia o wyborze najkorzystniejszej oferty, jeżeli zostało ono przesłane przy użyciu środków komunikacji elektronicznej lub</w:t>
      </w:r>
    </w:p>
    <w:p>
      <w:pPr>
        <w:pStyle w:val="ListParagraph"/>
        <w:numPr>
          <w:ilvl w:val="0"/>
          <w:numId w:val="18"/>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10 dni od dnia przesłania zawiadomienia o wyborze najkorzystniejszej oferty, jeżeli zostało ono przesłane w inny sposób niż określono w ppkt. 1),</w:t>
      </w:r>
    </w:p>
    <w:p>
      <w:pPr>
        <w:pStyle w:val="ListParagraph"/>
        <w:numPr>
          <w:ilvl w:val="0"/>
          <w:numId w:val="18"/>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 przypadku gdy, w postępowaniu złożona została tylko jedna oferta możliwe jest zawarcie umowy przed upływem ww. terminów.</w:t>
      </w:r>
    </w:p>
    <w:p>
      <w:pPr>
        <w:pStyle w:val="ListParagraph"/>
        <w:numPr>
          <w:ilvl w:val="0"/>
          <w:numId w:val="1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 miejscu i terminie podpisania umowy zamawiający powiadomi wybranego wykonawcę.</w:t>
      </w:r>
    </w:p>
    <w:p>
      <w:pPr>
        <w:pStyle w:val="ListParagraph"/>
        <w:numPr>
          <w:ilvl w:val="0"/>
          <w:numId w:val="1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gdy okaże się, że wykonawca, którego oferta została wybrana będzie uchylał się od zawarcia umowy zamawiający może wybrać ofertę najkorzystniejszą spośród pozostałych ofert, bez przeprowadzania ich ponownej oceny chyba, </w:t>
        <w:br/>
        <w:t>że zachodzi jedna z przesłanek unieważnienia postępowania.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Pouczenie o środkach ochrony prawnej przysługujących Wykonawcy</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2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 xml:space="preserve">Środki ochrony prawnej (Odwołanie, Skarga do Sądu) w niniejszym postępowaniu przysługują wykonawcom, a także innym podmiotom, jeżeli mają lub miały interes </w:t>
        <w:br/>
        <w:t xml:space="preserve">w uzyskaniu niniejszego zamówienia lub poniosły lub mogą ponieść szkodę </w:t>
        <w:br/>
        <w:t>w wyniku naruszenia przez zamawiającego przepisów ustawy Prawo zamówień publicznych.</w:t>
      </w:r>
    </w:p>
    <w:p>
      <w:pPr>
        <w:pStyle w:val="ListParagraph"/>
        <w:numPr>
          <w:ilvl w:val="0"/>
          <w:numId w:val="2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pPr>
        <w:pStyle w:val="ListParagraph"/>
        <w:numPr>
          <w:ilvl w:val="0"/>
          <w:numId w:val="2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Odwołanie przysługuje od:</w:t>
      </w:r>
    </w:p>
    <w:p>
      <w:pPr>
        <w:pStyle w:val="ListParagraph"/>
        <w:numPr>
          <w:ilvl w:val="3"/>
          <w:numId w:val="7"/>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niezgodnej z przepisami ustawy czynności zamawiającego, podjętej </w:t>
        <w:br/>
        <w:t xml:space="preserve">w postępowaniu o udzielenie zamówienia, w tym na projektowane postanowienie umowy; </w:t>
      </w:r>
    </w:p>
    <w:p>
      <w:pPr>
        <w:pStyle w:val="ListParagraph"/>
        <w:numPr>
          <w:ilvl w:val="3"/>
          <w:numId w:val="7"/>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zaniechanie czynności w postępowaniu o udzielenie zamówienia do której zamawiający był obowiązany na podstawie ustawy; </w:t>
      </w:r>
    </w:p>
    <w:p>
      <w:pPr>
        <w:pStyle w:val="ListParagraph"/>
        <w:numPr>
          <w:ilvl w:val="3"/>
          <w:numId w:val="7"/>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zaniechanie przeprowadzenia postępowania o udzielenie zamówienia mimo, </w:t>
        <w:br/>
        <w:t xml:space="preserve">że zamawiający był do tego obowiązany. </w:t>
      </w:r>
    </w:p>
    <w:p>
      <w:pPr>
        <w:pStyle w:val="ListParagraph"/>
        <w:numPr>
          <w:ilvl w:val="0"/>
          <w:numId w:val="2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pStyle w:val="ListParagraph"/>
        <w:numPr>
          <w:ilvl w:val="0"/>
          <w:numId w:val="2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Odwołanie wnosi się do Prezesa Krajowej Izby Odwoławczej. Kopię odwołania Odwołujący przekazuje zamawiającemu przed upływem terminu do wniesienia odwołania w taki sposób, aby mógł on zapoznać się z jego treścią przed upływem tego terminu.</w:t>
      </w:r>
    </w:p>
    <w:p>
      <w:pPr>
        <w:pStyle w:val="ListParagraph"/>
        <w:numPr>
          <w:ilvl w:val="0"/>
          <w:numId w:val="2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Odwołanie wnosi się w terminie:</w:t>
      </w:r>
    </w:p>
    <w:p>
      <w:pPr>
        <w:pStyle w:val="ListParagraph"/>
        <w:numPr>
          <w:ilvl w:val="0"/>
          <w:numId w:val="21"/>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5 dni od dnia przesłania informacji o czynności zamawiającego stanowiącej podstawę jego wniesienia, jeżeli zostało ono przesłane przy użyciu środków komunikacji elektronicznej, lub</w:t>
      </w:r>
    </w:p>
    <w:p>
      <w:pPr>
        <w:pStyle w:val="ListParagraph"/>
        <w:numPr>
          <w:ilvl w:val="0"/>
          <w:numId w:val="21"/>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10 dni od dnia przesłania informacji o czynności zamawiającego stanowiącej podstawę jego wniesienia, jeżeli zostało ono przesłane w inny sposób niż określono w ppkt. 1).</w:t>
      </w:r>
    </w:p>
    <w:p>
      <w:pPr>
        <w:pStyle w:val="ListParagraph"/>
        <w:numPr>
          <w:ilvl w:val="0"/>
          <w:numId w:val="2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Odwołanie wobec treści ogłoszenia o zamówieniu lub wobec treści dokumentów zamówienia  wnosi się w terminie 5 dni od dnia zamieszczenia ogłoszenia w Biuletynie Zamówień Publicznych lub specyfikacji warunków zamówienia na stronie internetowej zamawiającego i platformie zakupowej.</w:t>
      </w:r>
    </w:p>
    <w:p>
      <w:pPr>
        <w:pStyle w:val="ListParagraph"/>
        <w:numPr>
          <w:ilvl w:val="0"/>
          <w:numId w:val="2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Odwołanie wobec czynności innych niż określone w pkt. 6, 7 wnosi się w terminie  5 dni od dnia, w którym powzięto lub przy zachowaniu należytej staranności można było powziąć wiadomość o okolicznościach stanowiących podstawę jego wniesienia.</w:t>
      </w:r>
    </w:p>
    <w:p>
      <w:pPr>
        <w:pStyle w:val="ListParagraph"/>
        <w:numPr>
          <w:ilvl w:val="0"/>
          <w:numId w:val="2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Jeżeli zamawiający mimo takiego obowiązku nie przesłał wykonawcy zawiadomienia </w:t>
        <w:br/>
        <w:t>o wyborze oferty najkorzystniejszej odwołanie wnosi się nie później niż w terminie:</w:t>
      </w:r>
    </w:p>
    <w:p>
      <w:pPr>
        <w:pStyle w:val="ListParagraph"/>
        <w:numPr>
          <w:ilvl w:val="0"/>
          <w:numId w:val="22"/>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15 dni od dnia zamieszczenia w Biuletynie Zamówień Publicznych ogłoszenia </w:t>
        <w:br/>
        <w:t>o udzieleniu zamówienia.</w:t>
      </w:r>
    </w:p>
    <w:p>
      <w:pPr>
        <w:pStyle w:val="ListParagraph"/>
        <w:numPr>
          <w:ilvl w:val="0"/>
          <w:numId w:val="22"/>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1 miesiąca od dnia zawarcia umowy, jeżeli zamawiający nie zamieścił w Biuletynie Zamówień Publicznych ogłoszenia o udzieleniu zamówienia.</w:t>
      </w:r>
    </w:p>
    <w:p>
      <w:pPr>
        <w:pStyle w:val="ListParagraph"/>
        <w:numPr>
          <w:ilvl w:val="0"/>
          <w:numId w:val="2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 xml:space="preserve">Odwołanie wnosi się do Prezesa Krajowej Izby Odwoławczej w formie pisemnej </w:t>
        <w:br/>
        <w:t xml:space="preserve">albo w formie elektronicznej albo w postaci elektronicznej, z tym że odwołanie </w:t>
        <w:br/>
        <w:t xml:space="preserve">i przystąpienie do postępowania odwoławczego, wniesione w postaci elektronicznej, wymagają opatrzenia podpisem zaufanym. Pisma w formie pisemnej wnosi się </w:t>
        <w:br/>
        <w:t xml:space="preserve">za pośrednictwem operatora pocztowego, w rozumieniu ustawy z Prawo pocztowe, osobiście, za pośrednictwem posłańca, a pisma w postaci elektronicznej wnosi się przy użyciu środków komunikacji elektronicznej. </w:t>
      </w:r>
    </w:p>
    <w:p>
      <w:pPr>
        <w:pStyle w:val="ListParagraph"/>
        <w:numPr>
          <w:ilvl w:val="0"/>
          <w:numId w:val="2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Pozostałe informacje dotyczące środków ochrony prawnej znajdują się w Dziale IX Prawa zamówień publicznych "Środki ochrony prawnej", art. od 505 do 590.</w:t>
      </w:r>
    </w:p>
    <w:p>
      <w:pPr>
        <w:pStyle w:val="ListParagraph"/>
        <w:shd w:val="clear" w:color="auto" w:fill="FFFFFF"/>
        <w:spacing w:lineRule="auto" w:line="240" w:before="0" w:after="0"/>
        <w:ind w:left="284" w:hanging="0"/>
        <w:contextualSpacing/>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Podstawy wykluczenia, o których mowa w </w:t>
      </w:r>
      <w:hyperlink r:id="rId30">
        <w:r>
          <w:rPr>
            <w:rFonts w:eastAsia="Times New Roman" w:cs="Times New Roman" w:ascii="Times New Roman" w:hAnsi="Times New Roman"/>
            <w:b/>
            <w:bCs/>
            <w:sz w:val="24"/>
            <w:szCs w:val="24"/>
            <w:highlight w:val="lightGray"/>
            <w:lang w:eastAsia="pl-PL"/>
          </w:rPr>
          <w:t>art. 109 ust. 1</w:t>
        </w:r>
      </w:hyperlink>
      <w:r>
        <w:rPr>
          <w:rFonts w:eastAsia="Times New Roman" w:cs="Times New Roman" w:ascii="Times New Roman" w:hAnsi="Times New Roman"/>
          <w:b/>
          <w:bCs/>
          <w:sz w:val="24"/>
          <w:szCs w:val="24"/>
          <w:highlight w:val="lightGray"/>
          <w:lang w:eastAsia="pl-PL"/>
        </w:rPr>
        <w:t xml:space="preserve">, jeżeli zamawiający </w:t>
        <w:br/>
        <w:t>je przewiduje</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Zamawiający nie przewiduje wykluczenia wykonawcy z udziału w postępowaniu na podstawie art. 109 ust. 1 ustawy Pzp. </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Informacja o warunkach udziału w postępowaniu, jeżeli zamawiający </w:t>
        <w:br/>
        <w:t>je przewiduje</w:t>
      </w:r>
    </w:p>
    <w:p>
      <w:pPr>
        <w:pStyle w:val="Normal"/>
        <w:spacing w:lineRule="auto" w:line="240" w:before="0" w:after="0"/>
        <w:ind w:left="284" w:hanging="284"/>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O udzielenie niniejszego zamówienia mogą ubiegać się wykonawcy, którzy: </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nie podlegają wykluczeniu,</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spełniają warunki udziału w postępowaniu, określone w ogłoszeniu o zamówieniu oraz niniejszej specyfikacji warunków zamówienia.</w:t>
      </w:r>
    </w:p>
    <w:p>
      <w:pPr>
        <w:pStyle w:val="ListParagraph"/>
        <w:numPr>
          <w:ilvl w:val="0"/>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Warunki udziału w postępowaniu dotyczą: </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zdolności do występowania w obrocie gospodarczym – zamawiający wymaga, </w:t>
        <w:br/>
        <w:t xml:space="preserve">aby wykonawcy ubiegający się o udzielenie niniejszego zamówienia byli wpisani do jednego z rejestrów zawodowych lub handlowych prowadzonych w kraju, </w:t>
        <w:br/>
        <w:t>w którym mają siedzibę lub miejsce zamieszkania.</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uprawnień do prowadzenia określonej działalności gospodarczej lub zawodowej – Zamawiający nie wyznacza szczegółowego warunku w tym zakresie. </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sytuacji ekonomicznej lub finansowej – Zamawiający nie wyznacza szczegółowego warunku w tym zakresie. </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zdolności technicznej lub zawodowej – Zamawiający nie wyznacza szczegółowego warunku w tym zakresie.</w:t>
      </w:r>
    </w:p>
    <w:p>
      <w:pPr>
        <w:pStyle w:val="ListParagraph"/>
        <w:numPr>
          <w:ilvl w:val="0"/>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Postanowienia dotyczące Podmiotów udostępniających zasoby:</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może w celu potwierdzenia spełniania warunków udziału </w:t>
        <w:br/>
        <w:t xml:space="preserve">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Zobowiązanie podmiotu udostępniającego zasoby potwierdza, że stosunek łączący wykonawcę z tym podmiotem / podmiotami udostępniającymi zasoby gwarantuje rzeczywisty dostęp do tych zasobów oraz określa w szczególności: </w:t>
      </w:r>
    </w:p>
    <w:p>
      <w:pPr>
        <w:pStyle w:val="ListParagraph"/>
        <w:numPr>
          <w:ilvl w:val="0"/>
          <w:numId w:val="3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zakres dostępnych wykonawcy zasobów podmiotu udostępniającego zasoby; </w:t>
      </w:r>
    </w:p>
    <w:p>
      <w:pPr>
        <w:pStyle w:val="ListParagraph"/>
        <w:numPr>
          <w:ilvl w:val="0"/>
          <w:numId w:val="3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sposób i okres udostępnienia wykonawcy i wykorzystania przez niego zasobów podmiotu udostępniającego te zasoby przy wykonywaniu zamówienia; </w:t>
      </w:r>
    </w:p>
    <w:p>
      <w:pPr>
        <w:pStyle w:val="ListParagraph"/>
        <w:numPr>
          <w:ilvl w:val="0"/>
          <w:numId w:val="34"/>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Podmiot, który zobowiązał się do udostępnienia zasobów, odpowiada solidarnie </w:t>
        <w:br/>
        <w:t>z wykonawcą, który polega na jego sytuacji finansowej lub ekonomicznej, za szkodę poniesioną przez zamawiającego powstałą wskutek nieudostępnienia tych zasobów, chyba że za nieudostępnienie zasobów podmiot ten nie ponosi winy.</w:t>
      </w:r>
    </w:p>
    <w:p>
      <w:pPr>
        <w:pStyle w:val="ListParagraph"/>
        <w:numPr>
          <w:ilvl w:val="0"/>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Postanowienia dotyczące społecznej i zawodowej integracji osób będących członkami grup społecznie marginalizowanych – Zamawiający nie wyznacza szczegółowych warunków w tym zakresie. </w:t>
      </w:r>
    </w:p>
    <w:p>
      <w:pPr>
        <w:pStyle w:val="ListParagraph"/>
        <w:numPr>
          <w:ilvl w:val="0"/>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pPr>
        <w:pStyle w:val="ListParagraph"/>
        <w:numPr>
          <w:ilvl w:val="0"/>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wykonawców wspólnie ubiegających się o udzielenie zamówienia, zobowiązani są oni wykazać spełnienie warunków udziału w postępowaniu wspólnie. </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podmiotowych środkach dowodowych, jeżeli zamawiający będzie wymagał ich złożenia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3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Na ofertę składają się następujące dokumenty i załączniki:</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Formularz ofertowy - wypełniony i podpisany przez wykonawcę</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Formularz cenowy – na oferowaną część - wypełniony i podpisany przez wykonawcę</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Oświadczenie Wykonawcy o spełnieniu warunków udziału w postępowaniu </w:t>
        <w:br/>
        <w:t>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 W przypadku wspólnego ubiegania się o zamówienie przez wykonawców, oświadczenie, składa każdy z Wykonawców w zakresie, w jakim każdy z wykonawców wykazuje spełnianie warunków udziału w postępowaniu.</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Zobowiązanie podmiotu udostępniającego zasoby, jeżeli Wykonawca w celu potwierdzenia spełniania warunków udziału w postępowaniu polega na zdolnościach technicznych lub zawodowych lub sytuacji finansowej lub ekonomicznej innych podmiotów.</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Wykonawca, w przypadku polegania na zdolnościach lub sytuacji podmiotów udostępniających zasoby, przedstawia, wraz z własnym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pPr>
        <w:pStyle w:val="ListParagraph"/>
        <w:numPr>
          <w:ilvl w:val="1"/>
          <w:numId w:val="3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Odpowiednie pełnomocnictwo (jeśli dotyczy).</w:t>
      </w:r>
    </w:p>
    <w:p>
      <w:pPr>
        <w:pStyle w:val="ListParagraph"/>
        <w:numPr>
          <w:ilvl w:val="0"/>
          <w:numId w:val="3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p>
    <w:p>
      <w:pPr>
        <w:pStyle w:val="ListParagraph"/>
        <w:numPr>
          <w:ilvl w:val="0"/>
          <w:numId w:val="3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 celu wykazania braku podstaw wykluczenia z postępowania o udzielenie zamówienia na podstawie okoliczności, o których mowa  niniejszej SWZ należy dołączyć do oferty  pod rygorem wykluczenia z postępowania, następujące podmiotowe środki dowodowe: Oświadczenie Wykonawcy – wg. załącznika nr 3 do SWZ</w:t>
      </w:r>
    </w:p>
    <w:p>
      <w:pPr>
        <w:pStyle w:val="ListParagraph"/>
        <w:numPr>
          <w:ilvl w:val="0"/>
          <w:numId w:val="3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Postanowienia dotyczące wykonawców mających siedzibę lub miejsce zamieszkania poza granicami Rzeczypospolitej Polskiej</w:t>
      </w:r>
    </w:p>
    <w:p>
      <w:pPr>
        <w:pStyle w:val="ListParagraph"/>
        <w:numPr>
          <w:ilvl w:val="0"/>
          <w:numId w:val="38"/>
        </w:numPr>
        <w:spacing w:lineRule="auto" w:line="240" w:before="0" w:after="0"/>
        <w:ind w:left="284" w:hanging="284"/>
        <w:contextualSpacing/>
        <w:rPr>
          <w:rFonts w:ascii="Times New Roman" w:hAnsi="Times New Roman" w:cs="Times New Roman"/>
          <w:sz w:val="24"/>
          <w:szCs w:val="24"/>
        </w:rPr>
      </w:pPr>
      <w:r>
        <w:rPr>
          <w:rFonts w:cs="Times New Roman" w:ascii="Times New Roman" w:hAnsi="Times New Roman"/>
          <w:sz w:val="24"/>
          <w:szCs w:val="24"/>
        </w:rPr>
        <w:t xml:space="preserve">Wykonawca, który ma siedzibę lub miejsce zamieszkania poza terytorium Rzeczpospolitej Polskiej,  składa dokumenty i oświadczenia,  o którym mowa w SWZ </w:t>
      </w:r>
    </w:p>
    <w:p>
      <w:pPr>
        <w:pStyle w:val="ListParagraph"/>
        <w:numPr>
          <w:ilvl w:val="0"/>
          <w:numId w:val="38"/>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pPr>
        <w:pStyle w:val="ListParagraph"/>
        <w:numPr>
          <w:ilvl w:val="0"/>
          <w:numId w:val="37"/>
        </w:numPr>
        <w:spacing w:lineRule="auto" w:line="240" w:before="0" w:after="0"/>
        <w:ind w:left="284" w:hanging="284"/>
        <w:contextualSpacing/>
        <w:rPr>
          <w:rFonts w:ascii="Times New Roman" w:hAnsi="Times New Roman" w:cs="Times New Roman"/>
          <w:sz w:val="24"/>
          <w:szCs w:val="24"/>
        </w:rPr>
      </w:pPr>
      <w:r>
        <w:rPr>
          <w:rFonts w:cs="Times New Roman" w:ascii="Times New Roman" w:hAnsi="Times New Roman"/>
          <w:sz w:val="24"/>
          <w:szCs w:val="24"/>
        </w:rPr>
        <w:t>W celu oceny spełnienia przez wykonawcę warunków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ascii="Times New Roman" w:hAnsi="Times New Roman"/>
          <w:sz w:val="24"/>
          <w:szCs w:val="24"/>
          <w:lang w:eastAsia="pl-PL"/>
        </w:rPr>
        <w:t xml:space="preserve"> – </w:t>
      </w:r>
      <w:r>
        <w:rPr>
          <w:rFonts w:cs="Times New Roman" w:ascii="Times New Roman" w:hAnsi="Times New Roman"/>
          <w:sz w:val="24"/>
          <w:szCs w:val="24"/>
        </w:rPr>
        <w:t>Zamawiający wymaga kserokopii odpowiedniego dokumentu.</w:t>
      </w:r>
      <w:r>
        <w:rPr>
          <w:rFonts w:cs="Times New Roman" w:ascii="Times New Roman" w:hAnsi="Times New Roman"/>
          <w:sz w:val="24"/>
          <w:szCs w:val="24"/>
          <w:lang w:eastAsia="pl-PL"/>
        </w:rPr>
        <w:t xml:space="preserve"> </w:t>
      </w:r>
    </w:p>
    <w:p>
      <w:pPr>
        <w:pStyle w:val="Normal"/>
        <w:spacing w:lineRule="auto" w:line="240" w:before="0" w:after="0"/>
        <w:ind w:left="284" w:hanging="284"/>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37"/>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Postanowienia dot. podmiotowych środków dowodowych</w:t>
      </w:r>
    </w:p>
    <w:p>
      <w:pPr>
        <w:pStyle w:val="ListParagraph"/>
        <w:numPr>
          <w:ilvl w:val="2"/>
          <w:numId w:val="36"/>
        </w:numPr>
        <w:shd w:val="clear" w:color="auto" w:fill="FFFFFF"/>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Podmiotowe środki dowodowe wymienione w pkt od 1 do 5 są dołączane do oferty. </w:t>
      </w:r>
    </w:p>
    <w:p>
      <w:pPr>
        <w:pStyle w:val="ListParagraph"/>
        <w:numPr>
          <w:ilvl w:val="2"/>
          <w:numId w:val="36"/>
        </w:numPr>
        <w:shd w:val="clear" w:color="auto" w:fill="FFFFFF"/>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pPr>
        <w:pStyle w:val="ListParagraph"/>
        <w:numPr>
          <w:ilvl w:val="2"/>
          <w:numId w:val="36"/>
        </w:numPr>
        <w:shd w:val="clear" w:color="auto" w:fill="FFFFFF"/>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Jeżeli zachodzą uzasadnione podstawy do uznania, że złożone uprzednio podmiotowe środki dowodowe nie są już aktualne, zamawiający może </w:t>
        <w:br/>
        <w:t xml:space="preserve">w każdym czasie wezwać wykonawcę lub wykonawców do złożenia wszystkich lub niektórych podmiotowych środków dowodowych aktualnych na dzień ich złożenia. </w:t>
      </w:r>
    </w:p>
    <w:p>
      <w:pPr>
        <w:pStyle w:val="ListParagraph"/>
        <w:numPr>
          <w:ilvl w:val="2"/>
          <w:numId w:val="36"/>
        </w:numPr>
        <w:shd w:val="clear" w:color="auto" w:fill="FFFFFF"/>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nie wzywa do złożenia podmiotowych środków dowodowych </w:t>
        <w:br/>
        <w:t>w sytuacjach określonych w art. 127 ustawy Pzp.</w:t>
      </w:r>
    </w:p>
    <w:p>
      <w:pPr>
        <w:pStyle w:val="ListParagraph"/>
        <w:numPr>
          <w:ilvl w:val="0"/>
          <w:numId w:val="37"/>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lang w:eastAsia="pl-PL"/>
        </w:rPr>
      </w:pPr>
      <w:r>
        <w:rPr>
          <w:rFonts w:cs="Times New Roman" w:ascii="Times New Roman" w:hAnsi="Times New Roman"/>
          <w:sz w:val="24"/>
          <w:szCs w:val="24"/>
        </w:rPr>
        <w:t xml:space="preserve">Postanowienia dotyczące składanych w niniejszym postępowaniu dokumentów </w:t>
        <w:br/>
        <w:t>i oświadczeń:</w:t>
      </w:r>
    </w:p>
    <w:p>
      <w:pPr>
        <w:pStyle w:val="ListParagraph"/>
        <w:numPr>
          <w:ilvl w:val="0"/>
          <w:numId w:val="39"/>
        </w:numPr>
        <w:shd w:val="clear" w:color="auto" w:fill="FFFFFF"/>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Oświadczenia Wykonawcy, Podmiotów udostępniających zasoby,    Podwykonawców składane są w oryginale w formie elektronicznej </w:t>
        <w:br/>
        <w:t>(tj. opatrzonej kwalifikowanym podpisem elektronicznym) lub w postaci elektronicznej opatrzonej podpisem zaufanym lub podpisem osobistym przez osoby uprawnione do reprezentowania ww. podmiotów.</w:t>
      </w:r>
    </w:p>
    <w:p>
      <w:pPr>
        <w:pStyle w:val="ListParagraph"/>
        <w:numPr>
          <w:ilvl w:val="0"/>
          <w:numId w:val="39"/>
        </w:numPr>
        <w:shd w:val="clear" w:color="auto" w:fill="FFFFFF"/>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Dokumenty, inne niż oświadczenia, składane są w oryginale w postaci dokumentu elektronicznego lub elektronicznej kopii dokumentu poświadczonej elektronicznie za zgodność z oryginałem, przez osoby uprawnione do reprezentowania.</w:t>
      </w:r>
    </w:p>
    <w:p>
      <w:pPr>
        <w:pStyle w:val="ListParagraph"/>
        <w:numPr>
          <w:ilvl w:val="0"/>
          <w:numId w:val="39"/>
        </w:numPr>
        <w:shd w:val="clear" w:color="auto" w:fill="FFFFFF"/>
        <w:spacing w:lineRule="auto" w:line="240" w:before="0" w:after="0"/>
        <w:ind w:left="284" w:hanging="284"/>
        <w:contextualSpacing/>
        <w:rPr>
          <w:rFonts w:ascii="Times New Roman" w:hAnsi="Times New Roman" w:cs="Times New Roman"/>
          <w:sz w:val="24"/>
          <w:szCs w:val="24"/>
        </w:rPr>
      </w:pPr>
      <w:r>
        <w:rPr>
          <w:rFonts w:cs="Times New Roman" w:ascii="Times New Roman" w:hAnsi="Times New Roman"/>
          <w:sz w:val="24"/>
          <w:szCs w:val="24"/>
        </w:rPr>
        <w:t xml:space="preserve">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w:t>
        <w:br/>
        <w:t>z poświadczeniem elektronicznej kopii dokumentu lub oświadczenia za zgodność z oryginałem.</w:t>
      </w:r>
    </w:p>
    <w:p>
      <w:pPr>
        <w:pStyle w:val="ListParagraph"/>
        <w:numPr>
          <w:ilvl w:val="0"/>
          <w:numId w:val="39"/>
        </w:numPr>
        <w:shd w:val="clear" w:color="auto" w:fill="FFFFFF"/>
        <w:spacing w:lineRule="auto" w:line="240" w:before="0" w:after="0"/>
        <w:ind w:left="284" w:hanging="284"/>
        <w:contextualSpacing/>
        <w:rPr>
          <w:rFonts w:ascii="Times New Roman" w:hAnsi="Times New Roman" w:cs="Times New Roman"/>
          <w:sz w:val="24"/>
          <w:szCs w:val="24"/>
        </w:rPr>
      </w:pPr>
      <w:r>
        <w:rPr>
          <w:rFonts w:cs="Times New Roman" w:ascii="Times New Roman" w:hAnsi="Times New Roman"/>
          <w:sz w:val="24"/>
          <w:szCs w:val="24"/>
        </w:rPr>
        <w:t>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pPr>
        <w:pStyle w:val="ListParagraph"/>
        <w:numPr>
          <w:ilvl w:val="0"/>
          <w:numId w:val="39"/>
        </w:numPr>
        <w:shd w:val="clear" w:color="auto" w:fill="FFFFFF"/>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pPr>
        <w:pStyle w:val="ListParagraph"/>
        <w:numPr>
          <w:ilvl w:val="0"/>
          <w:numId w:val="39"/>
        </w:numPr>
        <w:shd w:val="clear" w:color="auto" w:fill="FFFFFF"/>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Podmiotowe środki dowodowe, przedmiotowe środki dowodowe oraz inne dokumenty lub oświadczenia, sporządzone w języku obcym przekazuje się wraz z tłumaczeniem na język polski.</w:t>
      </w:r>
    </w:p>
    <w:p>
      <w:pPr>
        <w:pStyle w:val="ListParagraph"/>
        <w:numPr>
          <w:ilvl w:val="0"/>
          <w:numId w:val="39"/>
        </w:numPr>
        <w:shd w:val="clear" w:color="auto" w:fill="FFFFFF"/>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dotycząca ofert wariantowych, w tym informacje o sposobie przedstawiania ofert wariantowych oraz minimalne warunki, jakim muszą odpowiadać oferty wariantowe, jeżeli zamawiający wymaga lub dopuszcza ich składanie</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Zamawiający nie dopuszcza możliwości składania ofert wariantowych.</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Wymagania w zakresie zatrudnienia na podstawie stosunku pracy, </w:t>
        <w:br/>
        <w:t>w okolicznościach, o których mowa w </w:t>
      </w:r>
      <w:hyperlink r:id="rId31">
        <w:r>
          <w:rPr>
            <w:rFonts w:eastAsia="Times New Roman" w:cs="Times New Roman" w:ascii="Times New Roman" w:hAnsi="Times New Roman"/>
            <w:b/>
            <w:bCs/>
            <w:sz w:val="24"/>
            <w:szCs w:val="24"/>
            <w:highlight w:val="lightGray"/>
            <w:lang w:eastAsia="pl-PL"/>
          </w:rPr>
          <w:t>art. 95</w:t>
        </w:r>
      </w:hyperlink>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Zamawiający nie precyzuje wymagań zatrudnienia przez wykonawcę lub podwykonawcę </w:t>
        <w:br/>
        <w:t>na podstawie umowy o pracę osób wykonujących wskazane czynności w zakresie realizacji niniejszego zamówienia.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Wymagania w zakresie zatrudnienia osób, o których mowa w </w:t>
      </w:r>
      <w:hyperlink r:id="rId32">
        <w:r>
          <w:rPr>
            <w:rFonts w:eastAsia="Times New Roman" w:cs="Times New Roman" w:ascii="Times New Roman" w:hAnsi="Times New Roman"/>
            <w:b/>
            <w:bCs/>
            <w:sz w:val="24"/>
            <w:szCs w:val="24"/>
            <w:highlight w:val="lightGray"/>
            <w:lang w:eastAsia="pl-PL"/>
          </w:rPr>
          <w:t>art. 96 ust. 2 pkt 2</w:t>
        </w:r>
      </w:hyperlink>
      <w:r>
        <w:rPr>
          <w:rFonts w:eastAsia="Times New Roman" w:cs="Times New Roman" w:ascii="Times New Roman" w:hAnsi="Times New Roman"/>
          <w:b/>
          <w:bCs/>
          <w:sz w:val="24"/>
          <w:szCs w:val="24"/>
          <w:highlight w:val="lightGray"/>
          <w:lang w:eastAsia="pl-PL"/>
        </w:rPr>
        <w:t>, jeżeli zamawiający przewiduje takie wymagania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cs="Times New Roman" w:ascii="Times New Roman" w:hAnsi="Times New Roman"/>
          <w:sz w:val="24"/>
          <w:szCs w:val="24"/>
        </w:rPr>
        <w:t xml:space="preserve">Zamawiający nie precyzuje wymagań zatrudnienia przez wykonawcę lub podwykonawcę </w:t>
      </w:r>
      <w:r>
        <w:rPr>
          <w:rFonts w:eastAsia="Times New Roman" w:cs="Times New Roman" w:ascii="Times New Roman" w:hAnsi="Times New Roman"/>
          <w:sz w:val="24"/>
          <w:szCs w:val="24"/>
          <w:lang w:eastAsia="pl-PL"/>
        </w:rPr>
        <w:t>osób, o których mowa w </w:t>
      </w:r>
      <w:hyperlink r:id="rId33">
        <w:r>
          <w:rPr>
            <w:rFonts w:eastAsia="Times New Roman" w:cs="Times New Roman" w:ascii="Times New Roman" w:hAnsi="Times New Roman"/>
            <w:sz w:val="24"/>
            <w:szCs w:val="24"/>
            <w:lang w:eastAsia="pl-PL"/>
          </w:rPr>
          <w:t>art. 96 ust. 2 pkt 2</w:t>
        </w:r>
      </w:hyperlink>
      <w:r>
        <w:rPr>
          <w:rFonts w:eastAsia="Times New Roman" w:cs="Times New Roman" w:ascii="Times New Roman" w:hAnsi="Times New Roman"/>
          <w:sz w:val="24"/>
          <w:szCs w:val="24"/>
          <w:lang w:eastAsia="pl-PL"/>
        </w:rPr>
        <w:t xml:space="preserve"> ustawy Pzp.</w:t>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zastrzeżeniu możliwości ubiegania się o udzielenie zamówienia wyłącznie przez wykonawców, o których mowa w </w:t>
      </w:r>
      <w:hyperlink r:id="rId34">
        <w:r>
          <w:rPr>
            <w:rFonts w:eastAsia="Times New Roman" w:cs="Times New Roman" w:ascii="Times New Roman" w:hAnsi="Times New Roman"/>
            <w:b/>
            <w:bCs/>
            <w:sz w:val="24"/>
            <w:szCs w:val="24"/>
            <w:highlight w:val="lightGray"/>
            <w:lang w:eastAsia="pl-PL"/>
          </w:rPr>
          <w:t>art. 94</w:t>
        </w:r>
      </w:hyperlink>
      <w:r>
        <w:rPr>
          <w:rFonts w:eastAsia="Times New Roman" w:cs="Times New Roman" w:ascii="Times New Roman" w:hAnsi="Times New Roman"/>
          <w:b/>
          <w:bCs/>
          <w:sz w:val="24"/>
          <w:szCs w:val="24"/>
          <w:highlight w:val="lightGray"/>
          <w:lang w:eastAsia="pl-PL"/>
        </w:rPr>
        <w:t>, jeżeli zamawiający przewiduje takie wymagania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zastrzega możliwości ubiegania się o udzielenie zamówienia wyłącznie przez wykonawców, o których mowa w </w:t>
      </w:r>
      <w:hyperlink r:id="rId35">
        <w:r>
          <w:rPr>
            <w:rFonts w:eastAsia="Times New Roman" w:cs="Times New Roman" w:ascii="Times New Roman" w:hAnsi="Times New Roman"/>
            <w:sz w:val="24"/>
            <w:szCs w:val="24"/>
            <w:lang w:eastAsia="pl-PL"/>
          </w:rPr>
          <w:t>art. 94</w:t>
        </w:r>
      </w:hyperlink>
      <w:r>
        <w:rPr>
          <w:rFonts w:eastAsia="Times New Roman" w:cs="Times New Roman" w:ascii="Times New Roman" w:hAnsi="Times New Roman"/>
          <w:sz w:val="24"/>
          <w:szCs w:val="24"/>
          <w:lang w:eastAsia="pl-PL"/>
        </w:rPr>
        <w:t xml:space="preserve"> ustawy Pzp.</w:t>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Wymagania dotyczące wadium, w tym jego kwotę, jeżeli zamawiający przewiduje obowiązek wniesienia wadium</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Zamawiający nie wymaga wniesienia wadium.</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przewidywanych zamówieniach, o których mowa w </w:t>
      </w:r>
      <w:hyperlink r:id="rId36">
        <w:r>
          <w:rPr>
            <w:rFonts w:eastAsia="Times New Roman" w:cs="Times New Roman" w:ascii="Times New Roman" w:hAnsi="Times New Roman"/>
            <w:b/>
            <w:bCs/>
            <w:sz w:val="24"/>
            <w:szCs w:val="24"/>
            <w:highlight w:val="lightGray"/>
            <w:lang w:eastAsia="pl-PL"/>
          </w:rPr>
          <w:t xml:space="preserve">art. 214 </w:t>
          <w:br/>
          <w:t>ust. 1 pkt 7 i 8</w:t>
        </w:r>
      </w:hyperlink>
      <w:r>
        <w:rPr>
          <w:rFonts w:eastAsia="Times New Roman" w:cs="Times New Roman" w:ascii="Times New Roman" w:hAnsi="Times New Roman"/>
          <w:b/>
          <w:bCs/>
          <w:sz w:val="24"/>
          <w:szCs w:val="24"/>
          <w:highlight w:val="lightGray"/>
          <w:lang w:eastAsia="pl-PL"/>
        </w:rPr>
        <w:t>, jeżeli zamawiający przewiduje udzielenie takich zamówień</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Zamawiający nie przewiduje udzielenia zamówień, o których mowa w art. 214 ust. 1 pkt 7 i 8 ustawy Pzp.</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dotycząca przeprowadzenia przez wykonawcę wizji lokalnej lub sprawdzenia przez niego dokumentów niezbędnych do realizacji zamówienia, o których mowa w </w:t>
      </w:r>
      <w:hyperlink r:id="rId37">
        <w:r>
          <w:rPr>
            <w:rFonts w:eastAsia="Times New Roman" w:cs="Times New Roman" w:ascii="Times New Roman" w:hAnsi="Times New Roman"/>
            <w:b/>
            <w:bCs/>
            <w:sz w:val="24"/>
            <w:szCs w:val="24"/>
            <w:highlight w:val="lightGray"/>
            <w:lang w:eastAsia="pl-PL"/>
          </w:rPr>
          <w:t>art. 131 ust. 2</w:t>
        </w:r>
      </w:hyperlink>
      <w:r>
        <w:rPr>
          <w:rFonts w:eastAsia="Times New Roman" w:cs="Times New Roman" w:ascii="Times New Roman" w:hAnsi="Times New Roman"/>
          <w:b/>
          <w:bCs/>
          <w:sz w:val="24"/>
          <w:szCs w:val="24"/>
          <w:highlight w:val="lightGray"/>
          <w:lang w:eastAsia="pl-PL"/>
        </w:rPr>
        <w:t>, jeżeli zamawiający przewiduje możliwość albo wymaga złożenia oferty po odbyciu wizji lokalnej lub sprawdzeniu tych dokumentów</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sz w:val="24"/>
          <w:szCs w:val="24"/>
          <w:lang w:eastAsia="pl-PL"/>
        </w:rPr>
        <w:t xml:space="preserve">Zamawiający nie przewiduje przeprowadzenia przez Wykonawcę wizji lokalnej </w:t>
        <w:br/>
        <w:t>lub sprawdzenia przez niego dokumentów niezbędnych do realizacji zamówienia.</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dotycząca walut obcych, w jakich mogą być prowadzone rozliczenia między zamawiającym a wykonawcą, jeżeli zamawiający przewiduje rozliczenia w walutach obcych</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highlight w:val="darkGray"/>
          <w:lang w:eastAsia="pl-PL"/>
        </w:rPr>
      </w:pPr>
      <w:r>
        <w:rPr>
          <w:rFonts w:eastAsia="Times New Roman" w:cs="Times New Roman" w:ascii="Times New Roman" w:hAnsi="Times New Roman"/>
          <w:b/>
          <w:bCs/>
          <w:sz w:val="24"/>
          <w:szCs w:val="24"/>
          <w:highlight w:val="darkGray"/>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przewiduje rozliczenia w walutach obcych.</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dotycząca zwrotu kosztów udziału w postępowaniu, jeżeli zamawiający przewiduje ich zwrot</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przewiduje zwrotu kosztów udziału w postępowaniu.</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obowiązku osobistego wykonania przez wykonawcę kluczowych zadań, jeżeli zamawiający dokonuje takiego zastrzeżenia zgodnie z </w:t>
      </w:r>
      <w:hyperlink r:id="rId38">
        <w:r>
          <w:rPr>
            <w:rFonts w:eastAsia="Times New Roman" w:cs="Times New Roman" w:ascii="Times New Roman" w:hAnsi="Times New Roman"/>
            <w:b/>
            <w:bCs/>
            <w:sz w:val="24"/>
            <w:szCs w:val="24"/>
            <w:highlight w:val="lightGray"/>
            <w:lang w:eastAsia="pl-PL"/>
          </w:rPr>
          <w:t>art. 60</w:t>
        </w:r>
      </w:hyperlink>
      <w:r>
        <w:rPr>
          <w:rFonts w:eastAsia="Times New Roman" w:cs="Times New Roman" w:ascii="Times New Roman" w:hAnsi="Times New Roman"/>
          <w:b/>
          <w:bCs/>
          <w:sz w:val="24"/>
          <w:szCs w:val="24"/>
          <w:highlight w:val="lightGray"/>
          <w:lang w:eastAsia="pl-PL"/>
        </w:rPr>
        <w:t> i </w:t>
      </w:r>
      <w:hyperlink r:id="rId39">
        <w:r>
          <w:rPr>
            <w:rFonts w:eastAsia="Times New Roman" w:cs="Times New Roman" w:ascii="Times New Roman" w:hAnsi="Times New Roman"/>
            <w:b/>
            <w:bCs/>
            <w:sz w:val="24"/>
            <w:szCs w:val="24"/>
            <w:highlight w:val="lightGray"/>
            <w:lang w:eastAsia="pl-PL"/>
          </w:rPr>
          <w:t>art. 121</w:t>
        </w:r>
      </w:hyperlink>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Zamawiający nie wprowadza zastrzeżenia wskazującego na obowiązek osobistego wykonania przez Wykonawcę kluczowych części zamówienia. Wykonawca może powierzyć wykonanie części zamówienia podwykonawcy.</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Maksymalna liczba wykonawców, z którymi zamawiający zawrze umowę ramową, jeżeli zamawiający przewiduje zawarcie umowy ramowej</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Zamawiający nie przewiduje zawarcia umowy ramowej.</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Informacja o przewidywanym wyborze najkorzystniejszej oferty z zastosowaniem aukcji elektronicznej wraz z informacjami, o których mowa w </w:t>
      </w:r>
      <w:hyperlink r:id="rId40">
        <w:r>
          <w:rPr>
            <w:rFonts w:eastAsia="Times New Roman" w:cs="Times New Roman" w:ascii="Times New Roman" w:hAnsi="Times New Roman"/>
            <w:b/>
            <w:bCs/>
            <w:sz w:val="24"/>
            <w:szCs w:val="24"/>
            <w:highlight w:val="lightGray"/>
            <w:lang w:eastAsia="pl-PL"/>
          </w:rPr>
          <w:t>art. 230</w:t>
        </w:r>
      </w:hyperlink>
      <w:r>
        <w:rPr>
          <w:rFonts w:eastAsia="Times New Roman" w:cs="Times New Roman" w:ascii="Times New Roman" w:hAnsi="Times New Roman"/>
          <w:b/>
          <w:bCs/>
          <w:sz w:val="24"/>
          <w:szCs w:val="24"/>
          <w:highlight w:val="lightGray"/>
          <w:lang w:eastAsia="pl-PL"/>
        </w:rPr>
        <w:t>, jeżeli zamawiający przewiduje aukcję elektroniczną</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nie przewiduje prowadzenia aukcji elektronicznej.</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Wymóg lub możliwość złożenia ofert w postaci katalogów elektronicznych lub dołączenia katalogów elektronicznych do oferty, w sytuacji określonej w </w:t>
      </w:r>
      <w:hyperlink r:id="rId41">
        <w:r>
          <w:rPr>
            <w:rFonts w:eastAsia="Times New Roman" w:cs="Times New Roman" w:ascii="Times New Roman" w:hAnsi="Times New Roman"/>
            <w:b/>
            <w:bCs/>
            <w:sz w:val="24"/>
            <w:szCs w:val="24"/>
            <w:highlight w:val="lightGray"/>
            <w:lang w:eastAsia="pl-PL"/>
          </w:rPr>
          <w:t>art. 93</w:t>
        </w:r>
      </w:hyperlink>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Zamawiający nie wymaga ani nie dopuszcza złożenia ofert w postaci katalogów elektronicznych lub dołączenia katalogów elektronicznych do oferty. </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ListParagraph"/>
        <w:numPr>
          <w:ilvl w:val="0"/>
          <w:numId w:val="40"/>
        </w:numPr>
        <w:shd w:val="clear" w:color="auto" w:fill="FFFFFF"/>
        <w:spacing w:lineRule="auto" w:line="240" w:before="0" w:after="0"/>
        <w:ind w:left="284" w:hanging="284"/>
        <w:contextualSpacing/>
        <w:jc w:val="both"/>
        <w:rPr>
          <w:rFonts w:ascii="Times New Roman" w:hAnsi="Times New Roman" w:eastAsia="Times New Roman" w:cs="Times New Roman"/>
          <w:b/>
          <w:b/>
          <w:bCs/>
          <w:sz w:val="24"/>
          <w:szCs w:val="24"/>
          <w:highlight w:val="lightGray"/>
          <w:lang w:eastAsia="pl-PL"/>
        </w:rPr>
      </w:pPr>
      <w:r>
        <w:rPr>
          <w:rFonts w:eastAsia="Times New Roman" w:cs="Times New Roman" w:ascii="Times New Roman" w:hAnsi="Times New Roman"/>
          <w:b/>
          <w:bCs/>
          <w:sz w:val="24"/>
          <w:szCs w:val="24"/>
          <w:highlight w:val="lightGray"/>
          <w:lang w:eastAsia="pl-PL"/>
        </w:rPr>
        <w:t xml:space="preserve">Informacja dotycząca zabezpieczenia należytego wykonania umowy, </w:t>
        <w:br/>
        <w:t>jeżeli zamawiający je przewiduje</w:t>
      </w:r>
    </w:p>
    <w:p>
      <w:pPr>
        <w:pStyle w:val="Normal"/>
        <w:shd w:val="clear" w:color="auto" w:fill="FFFFFF"/>
        <w:spacing w:lineRule="auto" w:line="240" w:before="0" w:after="0"/>
        <w:ind w:left="284" w:hanging="284"/>
        <w:jc w:val="both"/>
        <w:rPr>
          <w:rFonts w:ascii="Times New Roman" w:hAnsi="Times New Roman" w:eastAsia="Times New Roman" w:cs="Times New Roman"/>
          <w:b/>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Zamawiający nie przewiduje wniesienia zabezpieczenia należytego wykonania umowy.</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0"/>
        </w:numPr>
        <w:spacing w:lineRule="auto" w:line="240" w:before="0" w:after="0"/>
        <w:ind w:left="284" w:hanging="284"/>
        <w:contextualSpacing/>
        <w:jc w:val="both"/>
        <w:rPr>
          <w:rFonts w:ascii="Times New Roman" w:hAnsi="Times New Roman" w:cs="Times New Roman"/>
          <w:b/>
          <w:b/>
          <w:bCs/>
          <w:sz w:val="24"/>
          <w:szCs w:val="24"/>
          <w:highlight w:val="lightGray"/>
        </w:rPr>
      </w:pPr>
      <w:r>
        <w:rPr>
          <w:rFonts w:cs="Times New Roman" w:ascii="Times New Roman" w:hAnsi="Times New Roman"/>
          <w:b/>
          <w:bCs/>
          <w:sz w:val="24"/>
          <w:szCs w:val="24"/>
          <w:highlight w:val="lightGray"/>
        </w:rPr>
        <w:t>Postanowienia dotyczące przetwarzania danych osobowych</w:t>
      </w:r>
    </w:p>
    <w:p>
      <w:pPr>
        <w:pStyle w:val="Normal"/>
        <w:spacing w:lineRule="auto" w:line="240" w:before="0" w:after="0"/>
        <w:ind w:left="284" w:hanging="284"/>
        <w:jc w:val="both"/>
        <w:rPr>
          <w:rFonts w:ascii="Times New Roman" w:hAnsi="Times New Roman" w:cs="Times New Roman"/>
          <w:b/>
          <w:b/>
          <w:bCs/>
          <w:sz w:val="24"/>
          <w:szCs w:val="24"/>
          <w:highlight w:val="lightGray"/>
        </w:rPr>
      </w:pPr>
      <w:r>
        <w:rPr>
          <w:rFonts w:cs="Times New Roman" w:ascii="Times New Roman" w:hAnsi="Times New Roman"/>
          <w:b/>
          <w:bCs/>
          <w:sz w:val="24"/>
          <w:szCs w:val="24"/>
          <w:highlight w:val="lightGray"/>
        </w:rPr>
      </w:r>
    </w:p>
    <w:p>
      <w:pPr>
        <w:pStyle w:val="ListParagraph"/>
        <w:numPr>
          <w:ilvl w:val="0"/>
          <w:numId w:val="2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informuje,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w:t>
        <w:br/>
        <w:t>i w sprawie swobodnego przepływu takich danych oraz uchylenia dyrektywy 95/46/WE (ogólne rozporządzenie o ochronie danych) (Dz. Urz. UE L 119 z 04.05.2016, str. 1), dalej "Rozporządzenie RODO" w celu związanym z postępowaniem o udzielenie zamówienia publicznego.</w:t>
      </w:r>
    </w:p>
    <w:p>
      <w:pPr>
        <w:pStyle w:val="ListParagraph"/>
        <w:numPr>
          <w:ilvl w:val="0"/>
          <w:numId w:val="2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Administratorem danych osobowych jest Zamawiający. Podstawę prawną przetwarzania danych osobowych stanowi ustawa Prawo zamówień publicznych, wydane na jej podstawie akty wykonawcze, a także ustawa </w:t>
      </w:r>
      <w:r>
        <w:rPr>
          <w:rFonts w:cs="Times New Roman" w:ascii="Times New Roman" w:hAnsi="Times New Roman"/>
          <w:sz w:val="24"/>
          <w:szCs w:val="24"/>
          <w:shd w:fill="FFFFFF" w:val="clear"/>
        </w:rPr>
        <w:t>z dnia 14 lipca 1983 r.</w:t>
        <w:br/>
        <w:t xml:space="preserve"> </w:t>
      </w:r>
      <w:r>
        <w:rPr>
          <w:rFonts w:cs="Times New Roman" w:ascii="Times New Roman" w:hAnsi="Times New Roman"/>
          <w:sz w:val="24"/>
          <w:szCs w:val="24"/>
        </w:rPr>
        <w:t xml:space="preserve">o narodowym zasobie archiwalnym i archiwach </w:t>
      </w:r>
      <w:hyperlink r:id="rId42">
        <w:r>
          <w:rPr>
            <w:rStyle w:val="Czeinternetowe"/>
            <w:rFonts w:cs="Times New Roman" w:ascii="Times New Roman" w:hAnsi="Times New Roman"/>
            <w:color w:val="000000"/>
            <w:sz w:val="24"/>
            <w:szCs w:val="24"/>
            <w:u w:val="none"/>
            <w:shd w:fill="FFFFFF" w:val="clear"/>
          </w:rPr>
          <w:t xml:space="preserve">(Dz.U. z 2020 r. poz. 164 </w:t>
          <w:br/>
          <w:t>t.j. ze zm.)</w:t>
        </w:r>
      </w:hyperlink>
      <w:r>
        <w:rPr>
          <w:rFonts w:cs="Times New Roman" w:ascii="Times New Roman" w:hAnsi="Times New Roman"/>
          <w:sz w:val="24"/>
          <w:szCs w:val="24"/>
        </w:rPr>
        <w:t xml:space="preserve">.  Inspektorem ochrony danych osobowych jest Pani Monika Kozielska tel. +48 (41) 39 02 436 e- mail. mkalita@zoz.konskie.pl </w:t>
      </w:r>
    </w:p>
    <w:p>
      <w:pPr>
        <w:pStyle w:val="ListParagraph"/>
        <w:numPr>
          <w:ilvl w:val="0"/>
          <w:numId w:val="27"/>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Dane osobowe będą przetwarzane, z uwzględnieniem przepisów prawa, w celu: </w:t>
      </w:r>
    </w:p>
    <w:p>
      <w:pPr>
        <w:pStyle w:val="ListParagraph"/>
        <w:numPr>
          <w:ilvl w:val="0"/>
          <w:numId w:val="28"/>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przeprowadzenia postępowania o udzielenie zamówienia publicznego,</w:t>
      </w:r>
    </w:p>
    <w:p>
      <w:pPr>
        <w:pStyle w:val="ListParagraph"/>
        <w:numPr>
          <w:ilvl w:val="0"/>
          <w:numId w:val="28"/>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zawarcia i realizacji umowy z wyłonionym w niniejszym postępowaniu wykonawcą,</w:t>
      </w:r>
    </w:p>
    <w:p>
      <w:pPr>
        <w:pStyle w:val="ListParagraph"/>
        <w:numPr>
          <w:ilvl w:val="0"/>
          <w:numId w:val="28"/>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dokonania rozliczenia i płatności związanych z realizacją umowy,</w:t>
      </w:r>
    </w:p>
    <w:p>
      <w:pPr>
        <w:pStyle w:val="ListParagraph"/>
        <w:numPr>
          <w:ilvl w:val="0"/>
          <w:numId w:val="28"/>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przeprowadzenia ewentualnych postępowań kontrolnych i / lub audytu przez komórki Zamawiającego i inne uprawnione podmioty,</w:t>
      </w:r>
    </w:p>
    <w:p>
      <w:pPr>
        <w:pStyle w:val="ListParagraph"/>
        <w:numPr>
          <w:ilvl w:val="0"/>
          <w:numId w:val="28"/>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udostępnienia dokumentacji postępowania i zawartej umowy jako informacji publicznej,</w:t>
      </w:r>
    </w:p>
    <w:p>
      <w:pPr>
        <w:pStyle w:val="ListParagraph"/>
        <w:numPr>
          <w:ilvl w:val="0"/>
          <w:numId w:val="28"/>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archiwizacji postępowania.</w:t>
      </w:r>
    </w:p>
    <w:p>
      <w:pPr>
        <w:pStyle w:val="ListParagraph"/>
        <w:numPr>
          <w:ilvl w:val="0"/>
          <w:numId w:val="27"/>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Dane osobowe będą ujawniane wykonawcom oraz wszystkim zainteresowanym.</w:t>
      </w:r>
    </w:p>
    <w:p>
      <w:pPr>
        <w:pStyle w:val="ListParagraph"/>
        <w:numPr>
          <w:ilvl w:val="0"/>
          <w:numId w:val="27"/>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Dane osobowe będą przechowywane przez okres obowiązywania umowy, </w:t>
        <w:br/>
        <w:t>a następnie przez okres co najmniej 5 lat zgodnie z przepisami dotyczącymi archiwizacji. Dotyczy to wszystkich uczestników postępowania.</w:t>
      </w:r>
    </w:p>
    <w:p>
      <w:pPr>
        <w:pStyle w:val="ListParagraph"/>
        <w:numPr>
          <w:ilvl w:val="0"/>
          <w:numId w:val="27"/>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Osobie, której dane dotyczą przysługuje na warunkach określonych w przepisach Rozporządzenia RODO: </w:t>
      </w:r>
    </w:p>
    <w:p>
      <w:pPr>
        <w:pStyle w:val="ListParagraph"/>
        <w:numPr>
          <w:ilvl w:val="0"/>
          <w:numId w:val="29"/>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prawo dostępu do danych (art. 15), </w:t>
      </w:r>
    </w:p>
    <w:p>
      <w:pPr>
        <w:pStyle w:val="ListParagraph"/>
        <w:numPr>
          <w:ilvl w:val="0"/>
          <w:numId w:val="29"/>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prawo sprostowania danych (art. 16),</w:t>
      </w:r>
    </w:p>
    <w:p>
      <w:pPr>
        <w:pStyle w:val="ListParagraph"/>
        <w:numPr>
          <w:ilvl w:val="0"/>
          <w:numId w:val="29"/>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prawo do ograniczenia przetwarzania danych (art. 18),</w:t>
      </w:r>
    </w:p>
    <w:p>
      <w:pPr>
        <w:pStyle w:val="ListParagraph"/>
        <w:numPr>
          <w:ilvl w:val="0"/>
          <w:numId w:val="29"/>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prawo wniesienia skargi do organu nadzorczego. </w:t>
      </w:r>
    </w:p>
    <w:p>
      <w:pPr>
        <w:pStyle w:val="ListParagraph"/>
        <w:numPr>
          <w:ilvl w:val="0"/>
          <w:numId w:val="2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Osobie, której dane dotyczą nie przysługuje:</w:t>
      </w:r>
    </w:p>
    <w:p>
      <w:pPr>
        <w:pStyle w:val="ListParagraph"/>
        <w:numPr>
          <w:ilvl w:val="0"/>
          <w:numId w:val="3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prawo do usunięcia danych osobowych, "prawo do bycia zapomnianym" </w:t>
        <w:br/>
        <w:t>w związku z art. 17 ust. 3 lit. b, d lub e Rozporządzenia RODO,</w:t>
      </w:r>
    </w:p>
    <w:p>
      <w:pPr>
        <w:pStyle w:val="ListParagraph"/>
        <w:numPr>
          <w:ilvl w:val="0"/>
          <w:numId w:val="3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prawo do przenoszenia danych osobowych, o którym mowa w art. 20 Rozporządzenia RODO,</w:t>
      </w:r>
    </w:p>
    <w:p>
      <w:pPr>
        <w:pStyle w:val="ListParagraph"/>
        <w:numPr>
          <w:ilvl w:val="0"/>
          <w:numId w:val="30"/>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prawo sprzeciwu, o którym mowa w art. 21 Rozporządzenia RODO, </w:t>
      </w:r>
    </w:p>
    <w:p>
      <w:pPr>
        <w:pStyle w:val="ListParagraph"/>
        <w:numPr>
          <w:ilvl w:val="0"/>
          <w:numId w:val="2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pPr>
        <w:pStyle w:val="ListParagraph"/>
        <w:numPr>
          <w:ilvl w:val="0"/>
          <w:numId w:val="2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pPr>
        <w:pStyle w:val="ListParagraph"/>
        <w:numPr>
          <w:ilvl w:val="0"/>
          <w:numId w:val="27"/>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Wykonawca pozyskując dane osobowe na potrzeby sporządzenia oferty zobowiązany jest wypełnić obowiązki wynikające m. in. z art 13 i 14 rozporządzenia RODO. Wykonawca składając ofertę składa oświadczenie dotyczące przetwarzania danych osobowych.</w:t>
      </w:r>
    </w:p>
    <w:p>
      <w:pPr>
        <w:pStyle w:val="ListParagraph"/>
        <w:spacing w:lineRule="auto" w:line="240" w:before="0" w:after="0"/>
        <w:ind w:left="1068"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0"/>
        </w:numPr>
        <w:spacing w:lineRule="auto" w:line="240" w:before="0" w:after="0"/>
        <w:ind w:left="284" w:hanging="284"/>
        <w:contextualSpacing/>
        <w:jc w:val="both"/>
        <w:rPr>
          <w:rFonts w:ascii="Times New Roman" w:hAnsi="Times New Roman" w:cs="Times New Roman"/>
          <w:b/>
          <w:b/>
          <w:bCs/>
          <w:sz w:val="24"/>
          <w:szCs w:val="24"/>
          <w:highlight w:val="lightGray"/>
        </w:rPr>
      </w:pPr>
      <w:r>
        <w:rPr>
          <w:rFonts w:cs="Times New Roman" w:ascii="Times New Roman" w:hAnsi="Times New Roman"/>
          <w:b/>
          <w:bCs/>
          <w:sz w:val="24"/>
          <w:szCs w:val="24"/>
          <w:highlight w:val="lightGray"/>
        </w:rPr>
        <w:t>Wyjaśnienie treści specyfikacji  warunków zamówienia oraz jej</w:t>
      </w:r>
      <w:r>
        <w:rPr>
          <w:rFonts w:cs="Times New Roman" w:ascii="Times New Roman" w:hAnsi="Times New Roman"/>
          <w:b/>
          <w:bCs/>
          <w:sz w:val="24"/>
          <w:szCs w:val="24"/>
        </w:rPr>
        <w:t xml:space="preserve"> </w:t>
      </w:r>
      <w:r>
        <w:rPr>
          <w:rFonts w:cs="Times New Roman" w:ascii="Times New Roman" w:hAnsi="Times New Roman"/>
          <w:b/>
          <w:bCs/>
          <w:sz w:val="24"/>
          <w:szCs w:val="24"/>
          <w:highlight w:val="lightGray"/>
        </w:rPr>
        <w:t>modyfikacja</w:t>
      </w:r>
    </w:p>
    <w:p>
      <w:pPr>
        <w:pStyle w:val="ListParagraph"/>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może zwrócić się do zamawiającego o wyjaśnienie treści niniejszej specyfikacji warunków zamówienia. </w:t>
      </w:r>
    </w:p>
    <w:p>
      <w:pPr>
        <w:pStyle w:val="ListParagraph"/>
        <w:numPr>
          <w:ilvl w:val="0"/>
          <w:numId w:val="2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udzieli wyjaśnień niezwłocznie wszystkim wykonawcom nie później niż na 2 dni przed upływem terminu składania ofert pod warunkiem, że wniosek </w:t>
        <w:br/>
        <w:t>o wyjaśnienie treści wpłynął do zamawiającego nie później niż na 4 dni przed upływem terminu składania ofert.</w:t>
      </w:r>
    </w:p>
    <w:p>
      <w:pPr>
        <w:pStyle w:val="ListParagraph"/>
        <w:numPr>
          <w:ilvl w:val="0"/>
          <w:numId w:val="2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Ewentualna zmiana terminu składania ofert nie powoduje przesunięcia terminu, </w:t>
        <w:br/>
        <w:t>o którym mowa powyżej, po upłynięciu, którego zamawiający może pozostawić wniosek o wyjaśnienie treści specyfikacji bez rozpoznania.</w:t>
      </w:r>
    </w:p>
    <w:p>
      <w:pPr>
        <w:pStyle w:val="ListParagraph"/>
        <w:numPr>
          <w:ilvl w:val="0"/>
          <w:numId w:val="26"/>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sz w:val="24"/>
          <w:szCs w:val="24"/>
        </w:rPr>
        <w:t xml:space="preserve">Treść zapytań oraz udzielone wyjaśnienia zostaną zamieszczone na stronie internetowej: http:  /zoz-konskie.bip.org.pl/ i  platformie zakupowej  </w:t>
      </w:r>
    </w:p>
    <w:p>
      <w:pPr>
        <w:pStyle w:val="ListParagraph"/>
        <w:numPr>
          <w:ilvl w:val="0"/>
          <w:numId w:val="2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Nie udziela się żadnych ustnych i telefonicznych informacji, wyjaśnień </w:t>
        <w:br/>
        <w:t>czy odpowiedzi na kierowane do zamawiającego zapytania w sprawach wymagających zachowania pisemności postępowania.</w:t>
      </w:r>
    </w:p>
    <w:p>
      <w:pPr>
        <w:pStyle w:val="ListParagraph"/>
        <w:numPr>
          <w:ilvl w:val="0"/>
          <w:numId w:val="2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Zamawiający nie przewiduje zorganizowania zebrania wszystkich wykonawców.</w:t>
      </w:r>
    </w:p>
    <w:p>
      <w:pPr>
        <w:pStyle w:val="ListParagraph"/>
        <w:numPr>
          <w:ilvl w:val="0"/>
          <w:numId w:val="2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 uzasadnionych przypadkach zamawiający może przed upływem terminu składania ofert zmodyfikować treść specyfikacji warunków zamówienia.</w:t>
      </w:r>
    </w:p>
    <w:p>
      <w:pPr>
        <w:pStyle w:val="ListParagraph"/>
        <w:numPr>
          <w:ilvl w:val="0"/>
          <w:numId w:val="2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Wprowadzone w ten sposób modyfikacje, uzupełnienia i ustalenia lub zmiany, </w:t>
        <w:br/>
        <w:t>w tym zmiany terminów zamieszczone zostaną na stronie internetowej:</w:t>
        <w:br/>
        <w:t xml:space="preserve">http:  /zoz-konskie.bip.org.pl/ </w:t>
      </w:r>
    </w:p>
    <w:p>
      <w:pPr>
        <w:pStyle w:val="ListParagraph"/>
        <w:numPr>
          <w:ilvl w:val="0"/>
          <w:numId w:val="26"/>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pPr>
        <w:pStyle w:val="Normal"/>
        <w:spacing w:lineRule="auto" w:line="240" w:before="0" w:after="0"/>
        <w:ind w:left="284" w:hanging="284"/>
        <w:jc w:val="both"/>
        <w:rPr>
          <w:rFonts w:ascii="Times New Roman" w:hAnsi="Times New Roman" w:cs="Times New Roman"/>
          <w:b/>
          <w:b/>
          <w:sz w:val="24"/>
          <w:szCs w:val="24"/>
          <w:highlight w:val="lightGray"/>
        </w:rPr>
      </w:pPr>
      <w:r>
        <w:rPr>
          <w:rFonts w:cs="Times New Roman" w:ascii="Times New Roman" w:hAnsi="Times New Roman"/>
          <w:b/>
          <w:sz w:val="24"/>
          <w:szCs w:val="24"/>
          <w:highlight w:val="lightGray"/>
        </w:rPr>
      </w:r>
    </w:p>
    <w:p>
      <w:pPr>
        <w:pStyle w:val="ListParagraph"/>
        <w:numPr>
          <w:ilvl w:val="0"/>
          <w:numId w:val="4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b/>
          <w:sz w:val="24"/>
          <w:szCs w:val="24"/>
          <w:highlight w:val="lightGray"/>
        </w:rPr>
        <w:t>Postanowienia końcowe</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Uczestnicy postępowania mają prawo wglądu do treści protokołu postępowania </w:t>
        <w:br/>
        <w:t xml:space="preserve">oraz do załączników do protokołu. Protokół postępowania jest jawny i udostępniany </w:t>
        <w:br/>
        <w:t>na wniosek.</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Załącznikami do protokołu postępowania są w szczególności: oferty, opinie biegłych, oświadczenia, zawiadomienia, wnioski, dowód przekazania ogłoszenia do BZP, </w:t>
        <w:br/>
        <w:t xml:space="preserve">inne dokumenty i informacje składane przez zamawiającego i wykonawców </w:t>
        <w:br/>
        <w:t>oraz umowa w sprawie zamówienia publicznego.</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Załączniki do protokołu postępowania udostępnia się po dokonaniu wyboru najkorzystniejszej oferty albo unieważnieniu postępowania, z tym że oferty wraz </w:t>
        <w:br/>
        <w:t>z załącznikami, udostępnia się niezwłocznie po otwarciu ofert, nie później jednak niż w terminie 3 dni od dnia ich otwarcia.</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Udostępnienie dokumentów odbywać się będzie wg poniższych zasad:</w:t>
      </w:r>
    </w:p>
    <w:p>
      <w:pPr>
        <w:pStyle w:val="ListParagraph"/>
        <w:numPr>
          <w:ilvl w:val="0"/>
          <w:numId w:val="3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zamawiający udostępnia wskazane dokumenty na wniosek,</w:t>
      </w:r>
    </w:p>
    <w:p>
      <w:pPr>
        <w:pStyle w:val="ListParagraph"/>
        <w:numPr>
          <w:ilvl w:val="0"/>
          <w:numId w:val="3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udostępnianie protokołu postępowania lub załączników do protokołu postępowania następuje, co do zasady, przy użyciu środków komunikacji elektronicznej.</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jest odpowiedzialny za jakość, zgodność z warunkami technicznymi </w:t>
        <w:br/>
        <w:t xml:space="preserve">i jakościowymi opisanymi dla przedmiotu zamówienia. </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Wymagana jest należyta staranność przy realizacji zobowiązań umowy. </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Ustalenia i decyzje dotyczące wykonywania zamówienia uzgadniane będą przez Zamawiającego z ustanowionym przedstawicielem Wykonawcy. </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Wykonawca wskaże numery telefonów kontaktowych i numery fax. oraz inne dane  kontaktowe niezbędne dla sprawnego i terminowego wykonania zamówienia.</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nie ponosi odpowiedzialności za szkody wyrządzone przez Wykonawcę podczas wykonywania przedmiotu zamówienia. </w:t>
      </w:r>
    </w:p>
    <w:p>
      <w:pPr>
        <w:pStyle w:val="ListParagraph"/>
        <w:numPr>
          <w:ilvl w:val="0"/>
          <w:numId w:val="23"/>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W sprawach nieuregulowanych zastosowanie mają ogólnie obowiązujące przepisy, </w:t>
        <w:br/>
        <w:t xml:space="preserve">w szczególności przepisy ustawy Prawo zamówień publicznych oraz wydanych </w:t>
        <w:br/>
        <w:t>do Ustawy aktów wykonawczych.</w:t>
      </w:r>
    </w:p>
    <w:p>
      <w:pPr>
        <w:pStyle w:val="ListParagraph"/>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0"/>
        </w:numPr>
        <w:spacing w:lineRule="auto" w:line="240" w:before="0" w:after="0"/>
        <w:ind w:left="284" w:hanging="284"/>
        <w:contextualSpacing/>
        <w:jc w:val="both"/>
        <w:rPr>
          <w:rFonts w:ascii="Times New Roman" w:hAnsi="Times New Roman" w:cs="Times New Roman"/>
          <w:b/>
          <w:b/>
          <w:sz w:val="24"/>
          <w:szCs w:val="24"/>
        </w:rPr>
      </w:pPr>
      <w:r>
        <w:rPr>
          <w:rFonts w:cs="Times New Roman" w:ascii="Times New Roman" w:hAnsi="Times New Roman"/>
          <w:b/>
          <w:sz w:val="24"/>
          <w:szCs w:val="24"/>
          <w:highlight w:val="lightGray"/>
        </w:rPr>
        <w:t>Załączniki</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Załączniki składające się na integralną cześć specyfikacji:</w:t>
      </w:r>
    </w:p>
    <w:p>
      <w:pPr>
        <w:pStyle w:val="ListParagraph"/>
        <w:numPr>
          <w:ilvl w:val="0"/>
          <w:numId w:val="3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Wzór Formularza ofertowego - Zał. Nr 1.</w:t>
      </w:r>
    </w:p>
    <w:p>
      <w:pPr>
        <w:pStyle w:val="ListParagraph"/>
        <w:numPr>
          <w:ilvl w:val="0"/>
          <w:numId w:val="3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Wzory Formularzy cenowych  - Zał. Nr 2. na części od 1 do 6</w:t>
      </w:r>
    </w:p>
    <w:p>
      <w:pPr>
        <w:pStyle w:val="ListParagraph"/>
        <w:numPr>
          <w:ilvl w:val="0"/>
          <w:numId w:val="3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Oświadczenie - Zał. Nr 3 </w:t>
      </w:r>
    </w:p>
    <w:p>
      <w:pPr>
        <w:pStyle w:val="ListParagraph"/>
        <w:numPr>
          <w:ilvl w:val="0"/>
          <w:numId w:val="32"/>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Istotne postanowienia warunków umowy - Zał. Nr 4 </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sporządził: </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Inspektor ds. zamówień</w:t>
      </w:r>
    </w:p>
    <w:p>
      <w:pPr>
        <w:pStyle w:val="Normal"/>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publicznych</w:t>
      </w:r>
    </w:p>
    <w:p>
      <w:pPr>
        <w:pStyle w:val="Normal"/>
        <w:spacing w:lineRule="auto" w:line="240" w:before="0" w:after="0"/>
        <w:ind w:left="284" w:hanging="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mgr Anna Drabik</w:t>
      </w:r>
    </w:p>
    <w:p>
      <w:pPr>
        <w:pStyle w:val="Normal"/>
        <w:spacing w:lineRule="auto" w:line="240" w:before="0" w:after="0"/>
        <w:ind w:left="284" w:hanging="284"/>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left="284" w:hanging="284"/>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Dyrektor</w:t>
      </w:r>
    </w:p>
    <w:p>
      <w:pPr>
        <w:pStyle w:val="Normal"/>
        <w:widowControl w:val="false"/>
        <w:ind w:left="284" w:hanging="284"/>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left="284" w:hanging="284"/>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left="284" w:hanging="284"/>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left="284" w:hanging="284"/>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Zespołu Opieki Zdrowotnej </w:t>
        <w:br/>
        <w:t xml:space="preserve">                                                                    w Końskich </w:t>
      </w:r>
    </w:p>
    <w:p>
      <w:pPr>
        <w:pStyle w:val="Normal"/>
        <w:widowControl w:val="false"/>
        <w:ind w:left="284" w:hanging="284"/>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mgr </w:t>
      </w:r>
      <w:r>
        <w:rPr>
          <w:rFonts w:eastAsia="Calibri" w:cs="Times New Roman" w:ascii="Times New Roman" w:hAnsi="Times New Roman"/>
          <w:sz w:val="24"/>
          <w:szCs w:val="24"/>
        </w:rPr>
        <w:t>Anna Gil</w:t>
      </w:r>
    </w:p>
    <w:p>
      <w:pPr>
        <w:pStyle w:val="Normal"/>
        <w:widowControl w:val="false"/>
        <w:spacing w:before="0" w:after="160"/>
        <w:ind w:left="284" w:hanging="284"/>
        <w:jc w:val="center"/>
        <w:rPr>
          <w:rFonts w:ascii="Times New Roman" w:hAnsi="Times New Roman" w:cs="Times New Roman"/>
          <w:sz w:val="24"/>
          <w:szCs w:val="24"/>
        </w:rPr>
      </w:pPr>
      <w:r>
        <w:rPr/>
      </w:r>
    </w:p>
    <w:sectPr>
      <w:type w:val="nextPage"/>
      <w:pgSz w:w="11906" w:h="16838"/>
      <w:pgMar w:left="1417" w:right="1417" w:gutter="0" w:header="0" w:top="993" w:footer="0" w:bottom="993"/>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ourier New">
    <w:charset w:val="ee"/>
    <w:family w:val="roman"/>
    <w:pitch w:val="variable"/>
  </w:font>
  <w:font w:name="Consolas">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80" w:hanging="360"/>
      </w:pPr>
      <w:rPr>
        <w:rFonts w:ascii="Times New Roman" w:hAnsi="Times New Roman" w:eastAsia="Times New Roman" w:cs="Times New Roman"/>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decimal"/>
      <w:lvlText w:val="%1."/>
      <w:lvlJc w:val="left"/>
      <w:pPr>
        <w:tabs>
          <w:tab w:val="num" w:pos="0"/>
        </w:tabs>
        <w:ind w:left="643"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decimal"/>
      <w:lvlText w:val="%3."/>
      <w:lvlJc w:val="left"/>
      <w:pPr>
        <w:tabs>
          <w:tab w:val="num" w:pos="0"/>
        </w:tabs>
        <w:ind w:left="2700" w:hanging="36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068" w:hanging="360"/>
      </w:pPr>
      <w:rPr>
        <w:b w:val="false"/>
        <w:bCs/>
        <w:rFonts w:ascii="Times New Roman" w:hAnsi="Times New Roman" w:eastAsia="Calibri" w:cs="Times New Roman"/>
      </w:rPr>
    </w:lvl>
    <w:lvl w:ilvl="1">
      <w:start w:val="1"/>
      <w:numFmt w:val="lowerLetter"/>
      <w:lvlText w:val="%2."/>
      <w:lvlJc w:val="left"/>
      <w:pPr>
        <w:tabs>
          <w:tab w:val="num" w:pos="0"/>
        </w:tabs>
        <w:ind w:left="1788" w:hanging="360"/>
      </w:pPr>
      <w:rPr/>
    </w:lvl>
    <w:lvl w:ilvl="2">
      <w:start w:val="1"/>
      <w:numFmt w:val="lowerLetter"/>
      <w:lvlText w:val="%3)"/>
      <w:lvlJc w:val="left"/>
      <w:pPr>
        <w:tabs>
          <w:tab w:val="num" w:pos="0"/>
        </w:tabs>
        <w:ind w:left="2688" w:hanging="360"/>
      </w:pPr>
      <w:rPr/>
    </w:lvl>
    <w:lvl w:ilvl="3">
      <w:start w:val="1"/>
      <w:numFmt w:val="decimal"/>
      <w:lvlText w:val="%4)"/>
      <w:lvlJc w:val="left"/>
      <w:pPr>
        <w:tabs>
          <w:tab w:val="num" w:pos="0"/>
        </w:tabs>
        <w:ind w:left="1068" w:hanging="360"/>
      </w:pPr>
      <w:rPr>
        <w:b w:val="false"/>
        <w:bCs/>
        <w:rFonts w:ascii="Times New Roman" w:hAnsi="Times New Roman" w:eastAsia="Calibri" w:cs="Times New Roman"/>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3"/>
      <w:numFmt w:val="decimal"/>
      <w:lvlText w:val="%1."/>
      <w:lvlJc w:val="left"/>
      <w:pPr>
        <w:tabs>
          <w:tab w:val="num" w:pos="0"/>
        </w:tabs>
        <w:ind w:left="720" w:hanging="360"/>
      </w:pPr>
      <w:rPr>
        <w:b w:val="false"/>
        <w:bCs/>
      </w:rPr>
    </w:lvl>
    <w:lvl w:ilvl="1">
      <w:start w:val="1"/>
      <w:numFmt w:val="decimal"/>
      <w:lvlText w:val="%2)"/>
      <w:lvlJc w:val="left"/>
      <w:pPr>
        <w:tabs>
          <w:tab w:val="num" w:pos="0"/>
        </w:tabs>
        <w:ind w:left="1068"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b w:val="false"/>
        <w:bCs/>
        <w:rFonts w:eastAsia="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b w:val="false"/>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1068" w:hanging="360"/>
      </w:pPr>
      <w:rPr>
        <w:color w:val="auto"/>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b w:val="false"/>
        <w:bCs/>
        <w:rFonts w:ascii="Times New Roman" w:hAnsi="Times New Roman"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1068" w:hanging="360"/>
      </w:pPr>
      <w:rPr>
        <w:b w:val="false"/>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2">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3">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lvl>
    <w:lvl w:ilvl="1">
      <w:start w:val="1"/>
      <w:numFmt w:val="decimal"/>
      <w:lvlText w:val="%2)"/>
      <w:lvlJc w:val="left"/>
      <w:pPr>
        <w:tabs>
          <w:tab w:val="num" w:pos="0"/>
        </w:tabs>
        <w:ind w:left="72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b w:val="false"/>
        <w:rFonts w:ascii="Times New Roman" w:hAnsi="Times New Roman" w:eastAsia="Calibri" w:cs="Times New Roman"/>
        <w:color w:val="auto"/>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7">
    <w:lvl w:ilvl="0">
      <w:start w:val="1"/>
      <w:numFmt w:val="decimal"/>
      <w:lvlText w:val="%1."/>
      <w:lvlJc w:val="left"/>
      <w:pPr>
        <w:tabs>
          <w:tab w:val="num" w:pos="0"/>
        </w:tabs>
        <w:ind w:left="1068" w:hanging="360"/>
      </w:pPr>
      <w:rPr>
        <w:b w:val="false"/>
        <w:bCs/>
        <w:rFonts w:ascii="Times New Roman" w:hAnsi="Times New Roman" w:eastAsia="Calibri" w:cs="Times New Roman"/>
      </w:rPr>
    </w:lvl>
    <w:lvl w:ilvl="1">
      <w:start w:val="1"/>
      <w:numFmt w:val="lowerLetter"/>
      <w:lvlText w:val="%2."/>
      <w:lvlJc w:val="left"/>
      <w:pPr>
        <w:tabs>
          <w:tab w:val="num" w:pos="0"/>
        </w:tabs>
        <w:ind w:left="1788" w:hanging="360"/>
      </w:pPr>
      <w:rPr/>
    </w:lvl>
    <w:lvl w:ilvl="2">
      <w:start w:val="1"/>
      <w:numFmt w:val="decimal"/>
      <w:lvlText w:val="%3."/>
      <w:lvlJc w:val="left"/>
      <w:pPr>
        <w:tabs>
          <w:tab w:val="num" w:pos="0"/>
        </w:tabs>
        <w:ind w:left="2688" w:hanging="360"/>
      </w:pPr>
      <w:rPr>
        <w:b w:val="false"/>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8">
    <w:lvl w:ilvl="0">
      <w:start w:val="1"/>
      <w:numFmt w:val="decimal"/>
      <w:lvlText w:val="%1)"/>
      <w:lvlJc w:val="left"/>
      <w:pPr>
        <w:tabs>
          <w:tab w:val="num" w:pos="0"/>
        </w:tabs>
        <w:ind w:left="1788" w:hanging="360"/>
      </w:pPr>
      <w:rPr>
        <w:b w:val="false"/>
        <w:rFonts w:ascii="Times New Roman" w:hAnsi="Times New Roman" w:eastAsia="Calibri" w:cs="Times New Roman"/>
      </w:rPr>
    </w:lvl>
    <w:lvl w:ilvl="1">
      <w:start w:val="1"/>
      <w:numFmt w:val="lowerLetter"/>
      <w:lvlText w:val="%2."/>
      <w:lvlJc w:val="left"/>
      <w:pPr>
        <w:tabs>
          <w:tab w:val="num" w:pos="0"/>
        </w:tabs>
        <w:ind w:left="2508" w:hanging="360"/>
      </w:pPr>
      <w:rPr/>
    </w:lvl>
    <w:lvl w:ilvl="2">
      <w:start w:val="1"/>
      <w:numFmt w:val="lowerRoman"/>
      <w:lvlText w:val="%3."/>
      <w:lvlJc w:val="right"/>
      <w:pPr>
        <w:tabs>
          <w:tab w:val="num" w:pos="0"/>
        </w:tabs>
        <w:ind w:left="3228" w:hanging="180"/>
      </w:pPr>
      <w:rPr/>
    </w:lvl>
    <w:lvl w:ilvl="3">
      <w:start w:val="1"/>
      <w:numFmt w:val="decimal"/>
      <w:lvlText w:val="%4."/>
      <w:lvlJc w:val="left"/>
      <w:pPr>
        <w:tabs>
          <w:tab w:val="num" w:pos="0"/>
        </w:tabs>
        <w:ind w:left="3948" w:hanging="360"/>
      </w:pPr>
      <w:rPr/>
    </w:lvl>
    <w:lvl w:ilvl="4">
      <w:start w:val="1"/>
      <w:numFmt w:val="lowerLetter"/>
      <w:lvlText w:val="%5."/>
      <w:lvlJc w:val="left"/>
      <w:pPr>
        <w:tabs>
          <w:tab w:val="num" w:pos="0"/>
        </w:tabs>
        <w:ind w:left="4668" w:hanging="360"/>
      </w:pPr>
      <w:rPr/>
    </w:lvl>
    <w:lvl w:ilvl="5">
      <w:start w:val="1"/>
      <w:numFmt w:val="lowerRoman"/>
      <w:lvlText w:val="%6."/>
      <w:lvlJc w:val="right"/>
      <w:pPr>
        <w:tabs>
          <w:tab w:val="num" w:pos="0"/>
        </w:tabs>
        <w:ind w:left="5388" w:hanging="180"/>
      </w:pPr>
      <w:rPr/>
    </w:lvl>
    <w:lvl w:ilvl="6">
      <w:start w:val="1"/>
      <w:numFmt w:val="decimal"/>
      <w:lvlText w:val="%7."/>
      <w:lvlJc w:val="left"/>
      <w:pPr>
        <w:tabs>
          <w:tab w:val="num" w:pos="0"/>
        </w:tabs>
        <w:ind w:left="6108" w:hanging="360"/>
      </w:pPr>
      <w:rPr/>
    </w:lvl>
    <w:lvl w:ilvl="7">
      <w:start w:val="1"/>
      <w:numFmt w:val="lowerLetter"/>
      <w:lvlText w:val="%8."/>
      <w:lvlJc w:val="left"/>
      <w:pPr>
        <w:tabs>
          <w:tab w:val="num" w:pos="0"/>
        </w:tabs>
        <w:ind w:left="6828" w:hanging="360"/>
      </w:pPr>
      <w:rPr/>
    </w:lvl>
    <w:lvl w:ilvl="8">
      <w:start w:val="1"/>
      <w:numFmt w:val="lowerRoman"/>
      <w:lvlText w:val="%9."/>
      <w:lvlJc w:val="right"/>
      <w:pPr>
        <w:tabs>
          <w:tab w:val="num" w:pos="0"/>
        </w:tabs>
        <w:ind w:left="7548" w:hanging="180"/>
      </w:pPr>
      <w:rPr/>
    </w:lvl>
  </w:abstractNum>
  <w:abstractNum w:abstractNumId="29">
    <w:lvl w:ilvl="0">
      <w:start w:val="1"/>
      <w:numFmt w:val="decimal"/>
      <w:lvlText w:val="%1)"/>
      <w:lvlJc w:val="left"/>
      <w:pPr>
        <w:tabs>
          <w:tab w:val="num" w:pos="0"/>
        </w:tabs>
        <w:ind w:left="1776" w:hanging="360"/>
      </w:pPr>
      <w:rPr>
        <w:b w:val="false"/>
        <w:rFonts w:ascii="Times New Roman" w:hAnsi="Times New Roman" w:eastAsia="Calibri" w:cs="Times New Roman"/>
      </w:rPr>
    </w:lvl>
    <w:lvl w:ilvl="1">
      <w:start w:val="1"/>
      <w:numFmt w:val="lowerLetter"/>
      <w:lvlText w:val="%2."/>
      <w:lvlJc w:val="left"/>
      <w:pPr>
        <w:tabs>
          <w:tab w:val="num" w:pos="0"/>
        </w:tabs>
        <w:ind w:left="2496" w:hanging="360"/>
      </w:pPr>
      <w:rPr/>
    </w:lvl>
    <w:lvl w:ilvl="2">
      <w:start w:val="1"/>
      <w:numFmt w:val="lowerRoman"/>
      <w:lvlText w:val="%3."/>
      <w:lvlJc w:val="right"/>
      <w:pPr>
        <w:tabs>
          <w:tab w:val="num" w:pos="0"/>
        </w:tabs>
        <w:ind w:left="3216" w:hanging="180"/>
      </w:pPr>
      <w:rPr/>
    </w:lvl>
    <w:lvl w:ilvl="3">
      <w:start w:val="1"/>
      <w:numFmt w:val="decimal"/>
      <w:lvlText w:val="%4."/>
      <w:lvlJc w:val="left"/>
      <w:pPr>
        <w:tabs>
          <w:tab w:val="num" w:pos="0"/>
        </w:tabs>
        <w:ind w:left="3936" w:hanging="360"/>
      </w:pPr>
      <w:rPr/>
    </w:lvl>
    <w:lvl w:ilvl="4">
      <w:start w:val="1"/>
      <w:numFmt w:val="lowerLetter"/>
      <w:lvlText w:val="%5."/>
      <w:lvlJc w:val="left"/>
      <w:pPr>
        <w:tabs>
          <w:tab w:val="num" w:pos="0"/>
        </w:tabs>
        <w:ind w:left="4656" w:hanging="360"/>
      </w:pPr>
      <w:rPr/>
    </w:lvl>
    <w:lvl w:ilvl="5">
      <w:start w:val="1"/>
      <w:numFmt w:val="lowerRoman"/>
      <w:lvlText w:val="%6."/>
      <w:lvlJc w:val="right"/>
      <w:pPr>
        <w:tabs>
          <w:tab w:val="num" w:pos="0"/>
        </w:tabs>
        <w:ind w:left="5376" w:hanging="180"/>
      </w:pPr>
      <w:rPr/>
    </w:lvl>
    <w:lvl w:ilvl="6">
      <w:start w:val="1"/>
      <w:numFmt w:val="decimal"/>
      <w:lvlText w:val="%7."/>
      <w:lvlJc w:val="left"/>
      <w:pPr>
        <w:tabs>
          <w:tab w:val="num" w:pos="0"/>
        </w:tabs>
        <w:ind w:left="6096" w:hanging="360"/>
      </w:pPr>
      <w:rPr/>
    </w:lvl>
    <w:lvl w:ilvl="7">
      <w:start w:val="1"/>
      <w:numFmt w:val="lowerLetter"/>
      <w:lvlText w:val="%8."/>
      <w:lvlJc w:val="left"/>
      <w:pPr>
        <w:tabs>
          <w:tab w:val="num" w:pos="0"/>
        </w:tabs>
        <w:ind w:left="6816" w:hanging="360"/>
      </w:pPr>
      <w:rPr/>
    </w:lvl>
    <w:lvl w:ilvl="8">
      <w:start w:val="1"/>
      <w:numFmt w:val="lowerRoman"/>
      <w:lvlText w:val="%9."/>
      <w:lvlJc w:val="right"/>
      <w:pPr>
        <w:tabs>
          <w:tab w:val="num" w:pos="0"/>
        </w:tabs>
        <w:ind w:left="7536" w:hanging="180"/>
      </w:pPr>
      <w:rPr/>
    </w:lvl>
  </w:abstractNum>
  <w:abstractNum w:abstractNumId="30">
    <w:lvl w:ilvl="0">
      <w:start w:val="1"/>
      <w:numFmt w:val="decimal"/>
      <w:lvlText w:val="%1)"/>
      <w:lvlJc w:val="left"/>
      <w:pPr>
        <w:tabs>
          <w:tab w:val="num" w:pos="0"/>
        </w:tabs>
        <w:ind w:left="1776" w:hanging="360"/>
      </w:pPr>
      <w:rPr>
        <w:rFonts w:ascii="Times New Roman" w:hAnsi="Times New Roman" w:eastAsia="Calibri" w:cs="Times New Roman"/>
      </w:rPr>
    </w:lvl>
    <w:lvl w:ilvl="1">
      <w:start w:val="1"/>
      <w:numFmt w:val="lowerLetter"/>
      <w:lvlText w:val="%2."/>
      <w:lvlJc w:val="left"/>
      <w:pPr>
        <w:tabs>
          <w:tab w:val="num" w:pos="0"/>
        </w:tabs>
        <w:ind w:left="2496" w:hanging="360"/>
      </w:pPr>
      <w:rPr/>
    </w:lvl>
    <w:lvl w:ilvl="2">
      <w:start w:val="1"/>
      <w:numFmt w:val="lowerRoman"/>
      <w:lvlText w:val="%3."/>
      <w:lvlJc w:val="right"/>
      <w:pPr>
        <w:tabs>
          <w:tab w:val="num" w:pos="0"/>
        </w:tabs>
        <w:ind w:left="3216" w:hanging="180"/>
      </w:pPr>
      <w:rPr/>
    </w:lvl>
    <w:lvl w:ilvl="3">
      <w:start w:val="1"/>
      <w:numFmt w:val="decimal"/>
      <w:lvlText w:val="%4."/>
      <w:lvlJc w:val="left"/>
      <w:pPr>
        <w:tabs>
          <w:tab w:val="num" w:pos="0"/>
        </w:tabs>
        <w:ind w:left="3936" w:hanging="360"/>
      </w:pPr>
      <w:rPr/>
    </w:lvl>
    <w:lvl w:ilvl="4">
      <w:start w:val="1"/>
      <w:numFmt w:val="lowerLetter"/>
      <w:lvlText w:val="%5."/>
      <w:lvlJc w:val="left"/>
      <w:pPr>
        <w:tabs>
          <w:tab w:val="num" w:pos="0"/>
        </w:tabs>
        <w:ind w:left="4656" w:hanging="360"/>
      </w:pPr>
      <w:rPr/>
    </w:lvl>
    <w:lvl w:ilvl="5">
      <w:start w:val="1"/>
      <w:numFmt w:val="lowerRoman"/>
      <w:lvlText w:val="%6."/>
      <w:lvlJc w:val="right"/>
      <w:pPr>
        <w:tabs>
          <w:tab w:val="num" w:pos="0"/>
        </w:tabs>
        <w:ind w:left="5376" w:hanging="180"/>
      </w:pPr>
      <w:rPr/>
    </w:lvl>
    <w:lvl w:ilvl="6">
      <w:start w:val="1"/>
      <w:numFmt w:val="decimal"/>
      <w:lvlText w:val="%7."/>
      <w:lvlJc w:val="left"/>
      <w:pPr>
        <w:tabs>
          <w:tab w:val="num" w:pos="0"/>
        </w:tabs>
        <w:ind w:left="6096" w:hanging="360"/>
      </w:pPr>
      <w:rPr/>
    </w:lvl>
    <w:lvl w:ilvl="7">
      <w:start w:val="1"/>
      <w:numFmt w:val="lowerLetter"/>
      <w:lvlText w:val="%8."/>
      <w:lvlJc w:val="left"/>
      <w:pPr>
        <w:tabs>
          <w:tab w:val="num" w:pos="0"/>
        </w:tabs>
        <w:ind w:left="6816" w:hanging="360"/>
      </w:pPr>
      <w:rPr/>
    </w:lvl>
    <w:lvl w:ilvl="8">
      <w:start w:val="1"/>
      <w:numFmt w:val="lowerRoman"/>
      <w:lvlText w:val="%9."/>
      <w:lvlJc w:val="right"/>
      <w:pPr>
        <w:tabs>
          <w:tab w:val="num" w:pos="0"/>
        </w:tabs>
        <w:ind w:left="7536" w:hanging="180"/>
      </w:pPr>
      <w:rPr/>
    </w:lvl>
  </w:abstractNum>
  <w:abstractNum w:abstractNumId="3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lvl>
    <w:lvl w:ilvl="1">
      <w:start w:val="1"/>
      <w:numFmt w:val="decimal"/>
      <w:lvlText w:val="%2)"/>
      <w:lvlJc w:val="left"/>
      <w:pPr>
        <w:tabs>
          <w:tab w:val="num" w:pos="0"/>
        </w:tabs>
        <w:ind w:left="1068"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lowerLetter"/>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35">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9">
    <w:lvl w:ilvl="0">
      <w:start w:val="1"/>
      <w:numFmt w:val="decimal"/>
      <w:lvlText w:val="%1)"/>
      <w:lvlJc w:val="left"/>
      <w:pPr>
        <w:tabs>
          <w:tab w:val="num" w:pos="0"/>
        </w:tabs>
        <w:ind w:left="1836" w:hanging="420"/>
      </w:pPr>
      <w:rPr/>
    </w:lvl>
    <w:lvl w:ilvl="1">
      <w:start w:val="1"/>
      <w:numFmt w:val="lowerLetter"/>
      <w:lvlText w:val="%2."/>
      <w:lvlJc w:val="left"/>
      <w:pPr>
        <w:tabs>
          <w:tab w:val="num" w:pos="0"/>
        </w:tabs>
        <w:ind w:left="2496" w:hanging="360"/>
      </w:pPr>
      <w:rPr/>
    </w:lvl>
    <w:lvl w:ilvl="2">
      <w:start w:val="1"/>
      <w:numFmt w:val="lowerRoman"/>
      <w:lvlText w:val="%3."/>
      <w:lvlJc w:val="right"/>
      <w:pPr>
        <w:tabs>
          <w:tab w:val="num" w:pos="0"/>
        </w:tabs>
        <w:ind w:left="3216" w:hanging="180"/>
      </w:pPr>
      <w:rPr/>
    </w:lvl>
    <w:lvl w:ilvl="3">
      <w:start w:val="1"/>
      <w:numFmt w:val="decimal"/>
      <w:lvlText w:val="%4."/>
      <w:lvlJc w:val="left"/>
      <w:pPr>
        <w:tabs>
          <w:tab w:val="num" w:pos="0"/>
        </w:tabs>
        <w:ind w:left="3936" w:hanging="360"/>
      </w:pPr>
      <w:rPr/>
    </w:lvl>
    <w:lvl w:ilvl="4">
      <w:start w:val="1"/>
      <w:numFmt w:val="lowerLetter"/>
      <w:lvlText w:val="%5."/>
      <w:lvlJc w:val="left"/>
      <w:pPr>
        <w:tabs>
          <w:tab w:val="num" w:pos="0"/>
        </w:tabs>
        <w:ind w:left="4656" w:hanging="360"/>
      </w:pPr>
      <w:rPr/>
    </w:lvl>
    <w:lvl w:ilvl="5">
      <w:start w:val="1"/>
      <w:numFmt w:val="lowerRoman"/>
      <w:lvlText w:val="%6."/>
      <w:lvlJc w:val="right"/>
      <w:pPr>
        <w:tabs>
          <w:tab w:val="num" w:pos="0"/>
        </w:tabs>
        <w:ind w:left="5376" w:hanging="180"/>
      </w:pPr>
      <w:rPr/>
    </w:lvl>
    <w:lvl w:ilvl="6">
      <w:start w:val="1"/>
      <w:numFmt w:val="decimal"/>
      <w:lvlText w:val="%7."/>
      <w:lvlJc w:val="left"/>
      <w:pPr>
        <w:tabs>
          <w:tab w:val="num" w:pos="0"/>
        </w:tabs>
        <w:ind w:left="6096" w:hanging="360"/>
      </w:pPr>
      <w:rPr/>
    </w:lvl>
    <w:lvl w:ilvl="7">
      <w:start w:val="1"/>
      <w:numFmt w:val="lowerLetter"/>
      <w:lvlText w:val="%8."/>
      <w:lvlJc w:val="left"/>
      <w:pPr>
        <w:tabs>
          <w:tab w:val="num" w:pos="0"/>
        </w:tabs>
        <w:ind w:left="6816" w:hanging="360"/>
      </w:pPr>
      <w:rPr/>
    </w:lvl>
    <w:lvl w:ilvl="8">
      <w:start w:val="1"/>
      <w:numFmt w:val="lowerRoman"/>
      <w:lvlText w:val="%9."/>
      <w:lvlJc w:val="right"/>
      <w:pPr>
        <w:tabs>
          <w:tab w:val="num" w:pos="0"/>
        </w:tabs>
        <w:ind w:left="7536" w:hanging="180"/>
      </w:pPr>
      <w:rPr/>
    </w:lvl>
  </w:abstractNum>
  <w:abstractNum w:abstractNumId="40">
    <w:lvl w:ilvl="0">
      <w:start w:val="12"/>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386251"/>
    <w:pPr>
      <w:spacing w:lineRule="auto" w:line="240" w:beforeAutospacing="1" w:afterAutospacing="1"/>
      <w:outlineLvl w:val="0"/>
    </w:pPr>
    <w:rPr>
      <w:rFonts w:ascii="Times New Roman" w:hAnsi="Times New Roman" w:eastAsia="Times New Roman" w:cs="Times New Roman"/>
      <w:b/>
      <w:bCs/>
      <w:kern w:val="2"/>
      <w:sz w:val="48"/>
      <w:szCs w:val="48"/>
      <w:lang w:eastAsia="pl-PL"/>
    </w:rPr>
  </w:style>
  <w:style w:type="character" w:styleId="DefaultParagraphFont" w:default="1">
    <w:name w:val="Default Paragraph Font"/>
    <w:uiPriority w:val="1"/>
    <w:semiHidden/>
    <w:unhideWhenUsed/>
    <w:qFormat/>
    <w:rPr/>
  </w:style>
  <w:style w:type="character" w:styleId="Czeinternetowe" w:customStyle="1">
    <w:name w:val="Hyperlink"/>
    <w:basedOn w:val="DefaultParagraphFont"/>
    <w:uiPriority w:val="99"/>
    <w:semiHidden/>
    <w:unhideWhenUsed/>
    <w:rsid w:val="005813ed"/>
    <w:rPr>
      <w:color w:val="0000FF"/>
      <w:u w:val="single"/>
    </w:rPr>
  </w:style>
  <w:style w:type="character" w:styleId="TekstpodstawowywcityZnak" w:customStyle="1">
    <w:name w:val="Tekst podstawowy wcięty Znak"/>
    <w:basedOn w:val="DefaultParagraphFont"/>
    <w:qFormat/>
    <w:rsid w:val="00846cb8"/>
    <w:rPr>
      <w:rFonts w:ascii="Times New Roman" w:hAnsi="Times New Roman" w:eastAsia="Times New Roman" w:cs="Times New Roman"/>
      <w:sz w:val="24"/>
      <w:szCs w:val="20"/>
    </w:rPr>
  </w:style>
  <w:style w:type="character" w:styleId="ZwykytekstZnak" w:customStyle="1">
    <w:name w:val="Zwykły tekst Znak"/>
    <w:basedOn w:val="DefaultParagraphFont"/>
    <w:link w:val="PlainText"/>
    <w:qFormat/>
    <w:rsid w:val="00846cb8"/>
    <w:rPr>
      <w:rFonts w:ascii="Courier New" w:hAnsi="Courier New" w:eastAsia="Times New Roman" w:cs="Batang"/>
      <w:sz w:val="20"/>
      <w:szCs w:val="20"/>
      <w:lang w:eastAsia="pl-PL"/>
    </w:rPr>
  </w:style>
  <w:style w:type="character" w:styleId="TekstpodstawowywcityZnak1" w:customStyle="1">
    <w:name w:val="Tekst podstawowy wcięty Znak1"/>
    <w:basedOn w:val="DefaultParagraphFont"/>
    <w:uiPriority w:val="99"/>
    <w:semiHidden/>
    <w:qFormat/>
    <w:rsid w:val="00846cb8"/>
    <w:rPr/>
  </w:style>
  <w:style w:type="character" w:styleId="ZwykytekstZnak1" w:customStyle="1">
    <w:name w:val="Zwykły tekst Znak1"/>
    <w:basedOn w:val="DefaultParagraphFont"/>
    <w:uiPriority w:val="99"/>
    <w:semiHidden/>
    <w:qFormat/>
    <w:rsid w:val="00846cb8"/>
    <w:rPr>
      <w:rFonts w:ascii="Consolas" w:hAnsi="Consolas"/>
      <w:sz w:val="21"/>
      <w:szCs w:val="21"/>
    </w:rPr>
  </w:style>
  <w:style w:type="character" w:styleId="Nagwek1Znak" w:customStyle="1">
    <w:name w:val="Nagłówek 1 Znak"/>
    <w:basedOn w:val="DefaultParagraphFont"/>
    <w:uiPriority w:val="9"/>
    <w:qFormat/>
    <w:rsid w:val="00386251"/>
    <w:rPr>
      <w:rFonts w:ascii="Times New Roman" w:hAnsi="Times New Roman" w:eastAsia="Times New Roman" w:cs="Times New Roman"/>
      <w:b/>
      <w:bCs/>
      <w:kern w:val="2"/>
      <w:sz w:val="48"/>
      <w:szCs w:val="48"/>
      <w:lang w:eastAsia="pl-PL"/>
    </w:rPr>
  </w:style>
  <w:style w:type="character" w:styleId="Footnote" w:customStyle="1">
    <w:name w:val="footnote"/>
    <w:basedOn w:val="DefaultParagraphFont"/>
    <w:qFormat/>
    <w:rsid w:val="00386251"/>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5813ed"/>
    <w:pPr>
      <w:spacing w:lineRule="auto" w:line="276" w:before="0" w:after="200"/>
      <w:ind w:left="720" w:hanging="0"/>
      <w:contextualSpacing/>
    </w:pPr>
    <w:rPr/>
  </w:style>
  <w:style w:type="paragraph" w:styleId="Wcicietrecitekstu">
    <w:name w:val="Body Text Indent"/>
    <w:basedOn w:val="Normal"/>
    <w:link w:val="TekstpodstawowywcityZnak"/>
    <w:rsid w:val="00846cb8"/>
    <w:pPr>
      <w:spacing w:lineRule="auto" w:line="240" w:before="0" w:after="0"/>
      <w:ind w:left="360" w:hanging="0"/>
    </w:pPr>
    <w:rPr>
      <w:rFonts w:ascii="Times New Roman" w:hAnsi="Times New Roman" w:eastAsia="Times New Roman" w:cs="Times New Roman"/>
      <w:sz w:val="24"/>
      <w:szCs w:val="20"/>
    </w:rPr>
  </w:style>
  <w:style w:type="paragraph" w:styleId="PlainText">
    <w:name w:val="Plain Text"/>
    <w:basedOn w:val="Normal"/>
    <w:link w:val="ZwykytekstZnak"/>
    <w:qFormat/>
    <w:rsid w:val="00846cb8"/>
    <w:pPr>
      <w:spacing w:lineRule="auto" w:line="240" w:before="0" w:after="0"/>
    </w:pPr>
    <w:rPr>
      <w:rFonts w:ascii="Courier New" w:hAnsi="Courier New" w:eastAsia="Times New Roman" w:cs="Batang"/>
      <w:sz w:val="20"/>
      <w:szCs w:val="20"/>
      <w:lang w:eastAsia="pl-PL"/>
    </w:rPr>
  </w:style>
  <w:style w:type="paragraph" w:styleId="Mainpub" w:customStyle="1">
    <w:name w:val="mainpub"/>
    <w:basedOn w:val="Normal"/>
    <w:qFormat/>
    <w:rsid w:val="00386251"/>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p.legalis.pl/document-view.seam?documentId=mfrxilrtg4ytkobvgm4ti" TargetMode="External"/><Relationship Id="rId3" Type="http://schemas.openxmlformats.org/officeDocument/2006/relationships/hyperlink" Target="https://sip.legalis.pl/document-view.seam?documentId=mfrxilrtg4ytimjzhe4tiltqmfyc4njrga4damrxge" TargetMode="External"/><Relationship Id="rId4" Type="http://schemas.openxmlformats.org/officeDocument/2006/relationships/hyperlink" Target="https://sip.legalis.pl/document-view.seam?documentId=mfrxilrtg4ytimjzhe4tiltqmfyc4njrga4damrygi" TargetMode="External"/><Relationship Id="rId5" Type="http://schemas.openxmlformats.org/officeDocument/2006/relationships/hyperlink" Target="https://sip.legalis.pl/document-view.seam?documentId=mfrxilrtg4ytimjzhe4tiltqmfyc4njrga4damrzge" TargetMode="External"/><Relationship Id="rId6" Type="http://schemas.openxmlformats.org/officeDocument/2006/relationships/hyperlink" Target="https://sip.legalis.pl/document-view.seam?documentId=mfrxilrtg4ytimjzhe4tiltqmfyc4njrga4danjzge" TargetMode="External"/><Relationship Id="rId7" Type="http://schemas.openxmlformats.org/officeDocument/2006/relationships/hyperlink" Target="https://sip.legalis.pl/document-view.seam?documentId=mfrxilrtg4ytonrsgm3diltqmfyc4nrtg43dqobrge" TargetMode="External"/><Relationship Id="rId8" Type="http://schemas.openxmlformats.org/officeDocument/2006/relationships/hyperlink" Target="https://sip.legalis.pl/document-view.seam?documentId=mfrxilrtg4ytonrsgm3diltqmfyc4nrtg43dqnjrgy" TargetMode="External"/><Relationship Id="rId9" Type="http://schemas.openxmlformats.org/officeDocument/2006/relationships/hyperlink" Target="https://sip.legalis.pl/document-view.seam?documentId=mfrxilrtg4ytonrsgm3diltqmfyc4nrtg43dqnrxg4" TargetMode="External"/><Relationship Id="rId10" Type="http://schemas.openxmlformats.org/officeDocument/2006/relationships/hyperlink" Target="https://sip.legalis.pl/document-view.seam?documentId=mfrxilrtg4ytonrsgm3diltqmfyc4nrtg43dqnzyga" TargetMode="External"/><Relationship Id="rId11" Type="http://schemas.openxmlformats.org/officeDocument/2006/relationships/hyperlink" Target="https://sip.legalis.pl/document-view.seam?documentId=mfrxilrtg4ytoobqgq3deltqmfyc4nruguzdcmjtgi" TargetMode="External"/><Relationship Id="rId12" Type="http://schemas.openxmlformats.org/officeDocument/2006/relationships/hyperlink" Target="https://sip.legalis.pl/document-view.seam?documentId=mfrxilrtg4ytoobqgq3deltqmfyc4nruguzdanzqgm" TargetMode="External"/><Relationship Id="rId13" Type="http://schemas.openxmlformats.org/officeDocument/2006/relationships/hyperlink" Target="https://sip.legalis.pl/document-view.seam?documentId=mfrxilrtg4ytmobtheztsltqmfyc4nrrga2tqnjxge" TargetMode="External"/><Relationship Id="rId14" Type="http://schemas.openxmlformats.org/officeDocument/2006/relationships/hyperlink" Target="https://sip.legalis.pl/document-view.seam?documentId=mfrxilrtg4ytmobyga4taltqmfyc4nrrge4dqmbvgy" TargetMode="External"/><Relationship Id="rId15" Type="http://schemas.openxmlformats.org/officeDocument/2006/relationships/hyperlink" Target="https://sip.legalis.pl/document-view.seam?documentId=mfrxilrtg4ytomrxha3doltqmfyc4nrsguztsnzug4" TargetMode="External"/><Relationship Id="rId16" Type="http://schemas.openxmlformats.org/officeDocument/2006/relationships/hyperlink" Target="https://sip.legalis.pl/document-view.seam?documentId=mfrxilrtg4ytomrxha3doltqmfyc4nrsguztqobxgy" TargetMode="External"/><Relationship Id="rId17" Type="http://schemas.openxmlformats.org/officeDocument/2006/relationships/hyperlink" Target="https://sip.legalis.pl/document-view.seam?documentId=mfrxilrtg4ytomzthaztgltqmfyc4nrsg42tonjwhe" TargetMode="External"/><Relationship Id="rId18" Type="http://schemas.openxmlformats.org/officeDocument/2006/relationships/hyperlink" Target="https://sip.legalis.pl/document-view.seam?documentId=mfrxilrtg4ytonjwge2tsltqmfyc4nrtguztenjugu" TargetMode="External"/><Relationship Id="rId19" Type="http://schemas.openxmlformats.org/officeDocument/2006/relationships/hyperlink" Target="https://sip.legalis.pl/document-view.seam?documentId=mfrxilrtg4ytonrsgm3diltqmfyc4nrtg43dqnbsgm" TargetMode="External"/><Relationship Id="rId20" Type="http://schemas.openxmlformats.org/officeDocument/2006/relationships/hyperlink" Target="https://sip.legalis.pl/document-view.seam?documentId=mfrxilrtg4ytonrsgm3diltqmfyc4nrtg43dqojzgi" TargetMode="External"/><Relationship Id="rId21" Type="http://schemas.openxmlformats.org/officeDocument/2006/relationships/hyperlink" Target="https://sip.legalis.pl/document-view.seam?documentId=mfrxilrtg4ytonrsgm3diltqmfyc4nrtg43dqmjxhe" TargetMode="External"/><Relationship Id="rId22" Type="http://schemas.openxmlformats.org/officeDocument/2006/relationships/hyperlink" Target="https://sip.legalis.pl/document-view.seam?documentId=mfrxilrtg4ytmnrxhezdiltqmfyc4nrqgqydsmjrge" TargetMode="External"/><Relationship Id="rId23" Type="http://schemas.openxmlformats.org/officeDocument/2006/relationships/hyperlink" Target="https://sip.legalis.pl/document-view.seam?documentId=mfrxilrtg4ytmnrxhezdiltqmfyc4nrqgqydsmbxgq" TargetMode="External"/><Relationship Id="rId24" Type="http://schemas.openxmlformats.org/officeDocument/2006/relationships/hyperlink" Target="https://sip.legalis.pl/document-view.seam?documentId=mfrxilrtg4ytonrsgm3diltqmfyc4nrtg43dqojxga" TargetMode="External"/><Relationship Id="rId25" Type="http://schemas.openxmlformats.org/officeDocument/2006/relationships/hyperlink" Target="https://sip.legalis.pl/document-view.seam?documentId=mfrxilrtg4ytonrsgm3diltqmfyc4nrtg43dqojtge" TargetMode="External"/><Relationship Id="rId26" Type="http://schemas.openxmlformats.org/officeDocument/2006/relationships/hyperlink" Target="https://sip.legalis.pl/document-view.seam?documentId=mfrxilrtg4ytonrsgm3diltqmfyc4nrtg43dqobxgm" TargetMode="External"/><Relationship Id="rId27" Type="http://schemas.openxmlformats.org/officeDocument/2006/relationships/hyperlink" Target="https://sip.legalis.pl/document-view.seam?documentId=mfrxilrtg4ytmnrxhezdiltqmfyc4nrqgqydsmjrga" TargetMode="External"/><Relationship Id="rId28" Type="http://schemas.openxmlformats.org/officeDocument/2006/relationships/hyperlink" Target="https://sip.legalis.pl/document-view.seam?documentId=mfrxilrtg4ytmnrxhezdiltqmfyc4nrqgqydsmjrgm" TargetMode="External"/><Relationship Id="rId29" Type="http://schemas.openxmlformats.org/officeDocument/2006/relationships/hyperlink" Target="https://sip.legalis.pl/document-view.seam?documentId=mfrxilrtg4ytimjzhe4tiltqmfyc4njrga4damzygm" TargetMode="External"/><Relationship Id="rId30" Type="http://schemas.openxmlformats.org/officeDocument/2006/relationships/hyperlink" Target="https://sip.legalis.pl/document-view.seam?documentId=mfrxilrtg4ytimjzhe4tiltqmfyc4njrga4danrqge" TargetMode="External"/><Relationship Id="rId31" Type="http://schemas.openxmlformats.org/officeDocument/2006/relationships/hyperlink" Target="https://sip.legalis.pl/document-view.seam?documentId=mfrxilrtg4ytimjzhe4tiltqmfyc4njrga4danbuha" TargetMode="External"/><Relationship Id="rId32" Type="http://schemas.openxmlformats.org/officeDocument/2006/relationships/hyperlink" Target="https://sip.legalis.pl/document-view.seam?documentId=mfrxilrtg4ytimjzhe4tiltqmfyc4njrga4danbwga" TargetMode="External"/><Relationship Id="rId33" Type="http://schemas.openxmlformats.org/officeDocument/2006/relationships/hyperlink" Target="https://sip.legalis.pl/document-view.seam?documentId=mfrxilrtg4ytimjzhe4tiltqmfyc4njrga4danbwga" TargetMode="External"/><Relationship Id="rId34" Type="http://schemas.openxmlformats.org/officeDocument/2006/relationships/hyperlink" Target="https://sip.legalis.pl/document-view.seam?documentId=mfrxilrtg4ytimjzhe4tiltqmfyc4njrga4danbtga" TargetMode="External"/><Relationship Id="rId35" Type="http://schemas.openxmlformats.org/officeDocument/2006/relationships/hyperlink" Target="https://sip.legalis.pl/document-view.seam?documentId=mfrxilrtg4ytimjzhe4tiltqmfyc4njrga4danbtga" TargetMode="External"/><Relationship Id="rId36" Type="http://schemas.openxmlformats.org/officeDocument/2006/relationships/hyperlink" Target="https://sip.legalis.pl/document-view.seam?documentId=mfrxilrtg4ytimjzhe4tiltqmfyc4njrga4dcmjygi" TargetMode="External"/><Relationship Id="rId37" Type="http://schemas.openxmlformats.org/officeDocument/2006/relationships/hyperlink" Target="https://sip.legalis.pl/document-view.seam?documentId=mfrxilrtg4ytimjzhe4tiltqmfyc4njrga4danztg4" TargetMode="External"/><Relationship Id="rId38" Type="http://schemas.openxmlformats.org/officeDocument/2006/relationships/hyperlink" Target="https://sip.legalis.pl/document-view.seam?documentId=mfrxilrtg4ytimjzhe4tiltqmfyc4njrga4damrvg4" TargetMode="External"/><Relationship Id="rId39" Type="http://schemas.openxmlformats.org/officeDocument/2006/relationships/hyperlink" Target="https://sip.legalis.pl/document-view.seam?documentId=mfrxilrtg4ytimjzhe4tiltqmfyc4njrga4danrxg4" TargetMode="External"/><Relationship Id="rId40" Type="http://schemas.openxmlformats.org/officeDocument/2006/relationships/hyperlink" Target="https://sip.legalis.pl/document-view.seam?documentId=mfrxilrtg4ytimjzhe4tiltqmfyc4njrga4dcmzrg4" TargetMode="External"/><Relationship Id="rId41" Type="http://schemas.openxmlformats.org/officeDocument/2006/relationships/hyperlink" Target="https://sip.legalis.pl/document-view.seam?documentId=mfrxilrtg4ytimjzhe4tiltqmfyc4njrga4danbrhe" TargetMode="External"/><Relationship Id="rId42" Type="http://schemas.openxmlformats.org/officeDocument/2006/relationships/hyperlink" Target="https://sip.legalis.pl/document-view.seam?documentId=mfrxilrtg4ytinrygy4dq" TargetMode="Externa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Application>LibreOffice/7.4.4.2$Windows_X86_64 LibreOffice_project/85569322deea74ec9134968a29af2df5663baa21</Application>
  <AppVersion>15.0000</AppVersion>
  <Pages>18</Pages>
  <Words>7105</Words>
  <Characters>46683</Characters>
  <CharactersWithSpaces>54322</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2023-01-24T13:22:00Z</dcterms:created>
  <dc:creator>Ewelina Janus-Kozłowska</dc:creator>
  <dc:description/>
  <dc:language>pl-PL</dc:language>
  <cp:lastModifiedBy/>
  <dcterms:modified xsi:type="dcterms:W3CDTF">2023-02-14T09:44:04Z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